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640"/>
      </w:tblGrid>
      <w:tr w:rsidR="00B9181C" w14:paraId="5B8306C9" w14:textId="77777777" w:rsidTr="00D7551F">
        <w:trPr>
          <w:trHeight w:val="14462"/>
        </w:trPr>
        <w:tc>
          <w:tcPr>
            <w:tcW w:w="9640" w:type="dxa"/>
          </w:tcPr>
          <w:p w14:paraId="13D92A62" w14:textId="77777777" w:rsidR="00B9181C" w:rsidRPr="0093558D" w:rsidRDefault="00B9181C" w:rsidP="00D7551F">
            <w:pPr>
              <w:tabs>
                <w:tab w:val="left" w:pos="6521"/>
              </w:tabs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93558D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ББР Банк </w:t>
            </w:r>
          </w:p>
          <w:p w14:paraId="0D3BAD66" w14:textId="77777777" w:rsidR="00B9181C" w:rsidRPr="0093558D" w:rsidRDefault="00B9181C" w:rsidP="00D7551F">
            <w:pPr>
              <w:tabs>
                <w:tab w:val="left" w:pos="6521"/>
              </w:tabs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93558D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(акционерное общество)</w:t>
            </w:r>
          </w:p>
          <w:p w14:paraId="4577D395" w14:textId="77777777" w:rsidR="00B9181C" w:rsidRPr="0093558D" w:rsidRDefault="00B9181C" w:rsidP="00D7551F">
            <w:pPr>
              <w:spacing w:line="288" w:lineRule="auto"/>
              <w:jc w:val="both"/>
              <w:rPr>
                <w:b/>
                <w:sz w:val="24"/>
                <w:szCs w:val="24"/>
              </w:rPr>
            </w:pPr>
          </w:p>
          <w:p w14:paraId="20FCD771" w14:textId="77777777" w:rsidR="00B9181C" w:rsidRDefault="00B9181C" w:rsidP="00D7551F">
            <w:pPr>
              <w:spacing w:line="288" w:lineRule="auto"/>
              <w:jc w:val="both"/>
              <w:rPr>
                <w:b/>
                <w:sz w:val="24"/>
                <w:szCs w:val="24"/>
              </w:rPr>
            </w:pPr>
          </w:p>
          <w:p w14:paraId="1EE1DB80" w14:textId="77777777" w:rsidR="00737433" w:rsidRPr="00EF307B" w:rsidRDefault="00737433" w:rsidP="006D691F">
            <w:pPr>
              <w:spacing w:line="360" w:lineRule="auto"/>
              <w:ind w:left="503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F307B">
              <w:rPr>
                <w:rFonts w:ascii="Arial" w:hAnsi="Arial" w:cs="Arial"/>
                <w:b/>
                <w:sz w:val="22"/>
                <w:szCs w:val="22"/>
              </w:rPr>
              <w:t>Утверждены</w:t>
            </w:r>
          </w:p>
          <w:p w14:paraId="59AE81FC" w14:textId="77777777" w:rsidR="00B9181C" w:rsidRPr="00A10167" w:rsidRDefault="006D691F" w:rsidP="006D691F">
            <w:pPr>
              <w:spacing w:line="360" w:lineRule="auto"/>
              <w:ind w:left="50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Советом директоров ББР Банка (АО)</w:t>
            </w:r>
          </w:p>
          <w:p w14:paraId="16BD7B23" w14:textId="1214B32E" w:rsidR="00B9181C" w:rsidRDefault="006D691F" w:rsidP="006D691F">
            <w:pPr>
              <w:spacing w:line="360" w:lineRule="auto"/>
              <w:ind w:left="50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Протокол заседания </w:t>
            </w:r>
            <w:r w:rsidR="00B9181C" w:rsidRPr="00A10167">
              <w:rPr>
                <w:rFonts w:ascii="Arial" w:hAnsi="Arial" w:cs="Arial"/>
                <w:sz w:val="22"/>
                <w:szCs w:val="22"/>
              </w:rPr>
              <w:t>от</w:t>
            </w:r>
            <w:r w:rsidR="00FD4AEF">
              <w:rPr>
                <w:rFonts w:ascii="Arial" w:hAnsi="Arial" w:cs="Arial"/>
                <w:sz w:val="22"/>
                <w:szCs w:val="22"/>
              </w:rPr>
              <w:t xml:space="preserve"> 07.10.2025 №60</w:t>
            </w:r>
            <w:bookmarkStart w:id="0" w:name="_GoBack"/>
            <w:bookmarkEnd w:id="0"/>
          </w:p>
          <w:p w14:paraId="7E29B857" w14:textId="77777777" w:rsidR="006D691F" w:rsidRDefault="006D691F" w:rsidP="006D691F">
            <w:pPr>
              <w:spacing w:line="360" w:lineRule="auto"/>
              <w:ind w:left="503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191DE83" w14:textId="77777777" w:rsidR="00F83F17" w:rsidRDefault="00F83F17" w:rsidP="006D691F">
            <w:pPr>
              <w:spacing w:line="360" w:lineRule="auto"/>
              <w:ind w:left="503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41219A2" w14:textId="77777777" w:rsidR="00F83F17" w:rsidRPr="00A10167" w:rsidRDefault="00F83F17" w:rsidP="006D691F">
            <w:pPr>
              <w:spacing w:line="360" w:lineRule="auto"/>
              <w:ind w:left="503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56E5814" w14:textId="77777777" w:rsidR="00B9181C" w:rsidRPr="007A411E" w:rsidRDefault="00B9181C" w:rsidP="00D7551F">
            <w:pPr>
              <w:spacing w:line="288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535FDC4" w14:textId="77777777" w:rsidR="00B9181C" w:rsidRDefault="00B9181C" w:rsidP="00D7551F">
            <w:pPr>
              <w:jc w:val="center"/>
              <w:rPr>
                <w:b/>
                <w:sz w:val="32"/>
                <w:szCs w:val="32"/>
              </w:rPr>
            </w:pPr>
          </w:p>
          <w:p w14:paraId="2354FD7B" w14:textId="77777777" w:rsidR="00B9181C" w:rsidRDefault="00B9181C" w:rsidP="00D7551F">
            <w:pPr>
              <w:jc w:val="center"/>
              <w:rPr>
                <w:b/>
                <w:sz w:val="32"/>
                <w:szCs w:val="32"/>
              </w:rPr>
            </w:pPr>
          </w:p>
          <w:p w14:paraId="0E8D10C8" w14:textId="77777777" w:rsidR="00B9181C" w:rsidRDefault="00B9181C" w:rsidP="00D7551F">
            <w:pPr>
              <w:jc w:val="center"/>
              <w:rPr>
                <w:b/>
                <w:sz w:val="32"/>
                <w:szCs w:val="32"/>
              </w:rPr>
            </w:pPr>
          </w:p>
          <w:p w14:paraId="54C98BDE" w14:textId="77777777" w:rsidR="00B9181C" w:rsidRDefault="00B9181C" w:rsidP="00D7551F">
            <w:pPr>
              <w:jc w:val="center"/>
              <w:rPr>
                <w:b/>
                <w:sz w:val="32"/>
                <w:szCs w:val="32"/>
              </w:rPr>
            </w:pPr>
          </w:p>
          <w:p w14:paraId="53079ADD" w14:textId="77777777" w:rsidR="00B9181C" w:rsidRDefault="00B9181C" w:rsidP="00D7551F">
            <w:pPr>
              <w:jc w:val="center"/>
              <w:rPr>
                <w:b/>
                <w:sz w:val="32"/>
                <w:szCs w:val="32"/>
              </w:rPr>
            </w:pPr>
          </w:p>
          <w:p w14:paraId="65CCFA9B" w14:textId="77777777" w:rsidR="00B9181C" w:rsidRDefault="00B9181C" w:rsidP="00D7551F">
            <w:pPr>
              <w:jc w:val="center"/>
              <w:rPr>
                <w:b/>
                <w:sz w:val="32"/>
                <w:szCs w:val="32"/>
              </w:rPr>
            </w:pPr>
          </w:p>
          <w:p w14:paraId="03B702D9" w14:textId="77777777" w:rsidR="00737433" w:rsidRDefault="00737433" w:rsidP="00D7551F">
            <w:pPr>
              <w:jc w:val="center"/>
              <w:rPr>
                <w:b/>
                <w:sz w:val="32"/>
                <w:szCs w:val="32"/>
              </w:rPr>
            </w:pPr>
          </w:p>
          <w:p w14:paraId="1EF4FFF2" w14:textId="77777777" w:rsidR="00B9181C" w:rsidRPr="007A411E" w:rsidRDefault="006D691F" w:rsidP="00D7551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Условия</w:t>
            </w:r>
            <w:r w:rsidR="00B9181C" w:rsidRPr="007A411E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  <w:p w14:paraId="380BBAD6" w14:textId="77777777" w:rsidR="006D691F" w:rsidRDefault="000E52DB" w:rsidP="00D7551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с</w:t>
            </w:r>
            <w:r w:rsidR="006D691F">
              <w:rPr>
                <w:rFonts w:ascii="Arial" w:hAnsi="Arial" w:cs="Arial"/>
                <w:b/>
                <w:sz w:val="32"/>
                <w:szCs w:val="32"/>
              </w:rPr>
              <w:t xml:space="preserve">овершения операций с финансовыми инструментами Банка физическими лицами, включенными в список инсайдеров ББР Банка (АО), и связанными с ними лицами </w:t>
            </w:r>
          </w:p>
          <w:p w14:paraId="350B6801" w14:textId="77777777" w:rsidR="00B9181C" w:rsidRDefault="00B9181C" w:rsidP="00D7551F">
            <w:pPr>
              <w:spacing w:line="288" w:lineRule="auto"/>
              <w:ind w:left="1046"/>
              <w:jc w:val="both"/>
              <w:rPr>
                <w:sz w:val="24"/>
                <w:szCs w:val="24"/>
              </w:rPr>
            </w:pPr>
          </w:p>
          <w:p w14:paraId="11A1B40D" w14:textId="77777777" w:rsidR="00B9181C" w:rsidRDefault="00B9181C" w:rsidP="00D7551F">
            <w:pPr>
              <w:spacing w:line="288" w:lineRule="auto"/>
              <w:ind w:left="1046"/>
              <w:jc w:val="both"/>
              <w:rPr>
                <w:sz w:val="24"/>
                <w:szCs w:val="24"/>
              </w:rPr>
            </w:pPr>
          </w:p>
          <w:p w14:paraId="0385075B" w14:textId="77777777" w:rsidR="00B9181C" w:rsidRDefault="00B9181C" w:rsidP="00D7551F">
            <w:pPr>
              <w:spacing w:line="288" w:lineRule="auto"/>
              <w:ind w:left="1046"/>
              <w:jc w:val="both"/>
              <w:rPr>
                <w:sz w:val="24"/>
                <w:szCs w:val="24"/>
              </w:rPr>
            </w:pPr>
          </w:p>
          <w:p w14:paraId="2177DD1E" w14:textId="77777777" w:rsidR="00B9181C" w:rsidRDefault="00B9181C" w:rsidP="00D7551F">
            <w:pPr>
              <w:spacing w:line="288" w:lineRule="auto"/>
              <w:ind w:left="1046"/>
              <w:jc w:val="both"/>
              <w:rPr>
                <w:sz w:val="24"/>
                <w:szCs w:val="24"/>
              </w:rPr>
            </w:pPr>
          </w:p>
          <w:p w14:paraId="0E6A7E13" w14:textId="77777777" w:rsidR="00B9181C" w:rsidRDefault="00B9181C" w:rsidP="00D7551F">
            <w:pPr>
              <w:spacing w:line="288" w:lineRule="auto"/>
              <w:ind w:left="1046"/>
              <w:jc w:val="both"/>
              <w:rPr>
                <w:sz w:val="24"/>
                <w:szCs w:val="24"/>
              </w:rPr>
            </w:pPr>
          </w:p>
          <w:p w14:paraId="26735EE5" w14:textId="77777777" w:rsidR="00B9181C" w:rsidRDefault="00B9181C" w:rsidP="00D7551F">
            <w:pPr>
              <w:spacing w:line="288" w:lineRule="auto"/>
              <w:ind w:left="1046"/>
              <w:jc w:val="both"/>
              <w:rPr>
                <w:sz w:val="24"/>
                <w:szCs w:val="24"/>
              </w:rPr>
            </w:pPr>
          </w:p>
          <w:p w14:paraId="330C2F50" w14:textId="77777777" w:rsidR="00B9181C" w:rsidRDefault="00B9181C" w:rsidP="00D7551F">
            <w:pPr>
              <w:spacing w:line="288" w:lineRule="auto"/>
              <w:ind w:left="1046"/>
              <w:jc w:val="both"/>
              <w:rPr>
                <w:sz w:val="24"/>
                <w:szCs w:val="24"/>
              </w:rPr>
            </w:pPr>
          </w:p>
          <w:p w14:paraId="757FEBC6" w14:textId="77777777" w:rsidR="00B9181C" w:rsidRDefault="00B9181C" w:rsidP="00D7551F">
            <w:pPr>
              <w:spacing w:line="288" w:lineRule="auto"/>
              <w:ind w:left="1046"/>
              <w:jc w:val="both"/>
              <w:rPr>
                <w:sz w:val="24"/>
                <w:szCs w:val="24"/>
              </w:rPr>
            </w:pPr>
          </w:p>
          <w:p w14:paraId="4784F15B" w14:textId="77777777" w:rsidR="003A763F" w:rsidRDefault="003A763F" w:rsidP="00D7551F">
            <w:pPr>
              <w:spacing w:line="288" w:lineRule="auto"/>
              <w:ind w:left="1046"/>
              <w:jc w:val="both"/>
              <w:rPr>
                <w:sz w:val="24"/>
                <w:szCs w:val="24"/>
              </w:rPr>
            </w:pPr>
          </w:p>
          <w:p w14:paraId="522C1596" w14:textId="77777777" w:rsidR="003A763F" w:rsidRDefault="003A763F" w:rsidP="00D7551F">
            <w:pPr>
              <w:spacing w:line="288" w:lineRule="auto"/>
              <w:ind w:left="1046"/>
              <w:jc w:val="both"/>
              <w:rPr>
                <w:sz w:val="24"/>
                <w:szCs w:val="24"/>
              </w:rPr>
            </w:pPr>
          </w:p>
          <w:p w14:paraId="0044FA0E" w14:textId="77777777" w:rsidR="003A763F" w:rsidRDefault="003A763F" w:rsidP="00D7551F">
            <w:pPr>
              <w:spacing w:line="288" w:lineRule="auto"/>
              <w:ind w:left="1046"/>
              <w:jc w:val="both"/>
              <w:rPr>
                <w:sz w:val="24"/>
                <w:szCs w:val="24"/>
              </w:rPr>
            </w:pPr>
          </w:p>
          <w:p w14:paraId="7139A767" w14:textId="77777777" w:rsidR="005F6E0E" w:rsidRDefault="005F6E0E" w:rsidP="00D7551F">
            <w:pPr>
              <w:spacing w:line="288" w:lineRule="auto"/>
              <w:ind w:left="1046"/>
              <w:jc w:val="both"/>
              <w:rPr>
                <w:sz w:val="24"/>
                <w:szCs w:val="24"/>
              </w:rPr>
            </w:pPr>
          </w:p>
          <w:p w14:paraId="4BD7FCBA" w14:textId="77777777" w:rsidR="00F83F17" w:rsidRDefault="00F83F17" w:rsidP="00D7551F">
            <w:pPr>
              <w:spacing w:line="288" w:lineRule="auto"/>
              <w:ind w:left="1046"/>
              <w:jc w:val="both"/>
              <w:rPr>
                <w:sz w:val="24"/>
                <w:szCs w:val="24"/>
              </w:rPr>
            </w:pPr>
          </w:p>
          <w:p w14:paraId="3807396C" w14:textId="77777777" w:rsidR="005F6E0E" w:rsidRDefault="005F6E0E" w:rsidP="00D7551F">
            <w:pPr>
              <w:spacing w:line="288" w:lineRule="auto"/>
              <w:ind w:left="1046"/>
              <w:jc w:val="both"/>
              <w:rPr>
                <w:sz w:val="24"/>
                <w:szCs w:val="24"/>
              </w:rPr>
            </w:pPr>
          </w:p>
          <w:p w14:paraId="0832B383" w14:textId="77777777" w:rsidR="005F6E0E" w:rsidRDefault="005F6E0E" w:rsidP="00D7551F">
            <w:pPr>
              <w:spacing w:line="288" w:lineRule="auto"/>
              <w:ind w:left="1046"/>
              <w:jc w:val="both"/>
              <w:rPr>
                <w:sz w:val="24"/>
                <w:szCs w:val="24"/>
              </w:rPr>
            </w:pPr>
          </w:p>
          <w:p w14:paraId="1C1D62D0" w14:textId="77777777" w:rsidR="006D691F" w:rsidRDefault="006D691F" w:rsidP="00D7551F">
            <w:pPr>
              <w:spacing w:line="288" w:lineRule="auto"/>
              <w:ind w:left="1046"/>
              <w:jc w:val="both"/>
              <w:rPr>
                <w:sz w:val="24"/>
                <w:szCs w:val="24"/>
              </w:rPr>
            </w:pPr>
          </w:p>
          <w:p w14:paraId="2E647E36" w14:textId="77777777" w:rsidR="00B9181C" w:rsidRPr="00A10167" w:rsidRDefault="00B9181C" w:rsidP="00D7551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10167">
              <w:rPr>
                <w:rFonts w:ascii="Arial" w:hAnsi="Arial" w:cs="Arial"/>
                <w:b/>
                <w:sz w:val="22"/>
                <w:szCs w:val="22"/>
              </w:rPr>
              <w:t>Москва</w:t>
            </w:r>
          </w:p>
          <w:p w14:paraId="604A9D61" w14:textId="77777777" w:rsidR="00B9181C" w:rsidRPr="00A10167" w:rsidRDefault="00B9181C" w:rsidP="00D7551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10167">
              <w:rPr>
                <w:rFonts w:ascii="Arial" w:hAnsi="Arial" w:cs="Arial"/>
                <w:b/>
                <w:sz w:val="22"/>
                <w:szCs w:val="22"/>
              </w:rPr>
              <w:t>2025</w:t>
            </w:r>
          </w:p>
          <w:p w14:paraId="2984822F" w14:textId="77777777" w:rsidR="00B9181C" w:rsidRDefault="00B9181C" w:rsidP="00D7551F">
            <w:pPr>
              <w:pStyle w:val="a8"/>
              <w:spacing w:line="276" w:lineRule="auto"/>
              <w:jc w:val="center"/>
              <w:rPr>
                <w:sz w:val="22"/>
              </w:rPr>
            </w:pPr>
          </w:p>
        </w:tc>
      </w:tr>
    </w:tbl>
    <w:p w14:paraId="4CA83252" w14:textId="77777777" w:rsidR="00B9181C" w:rsidRDefault="00B9181C" w:rsidP="00D06769">
      <w:pPr>
        <w:pStyle w:val="a3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outlineLvl w:val="0"/>
        <w:rPr>
          <w:rFonts w:ascii="Arial" w:hAnsi="Arial" w:cs="Arial"/>
          <w:b/>
          <w:sz w:val="22"/>
          <w:szCs w:val="22"/>
        </w:rPr>
      </w:pPr>
      <w:bookmarkStart w:id="1" w:name="_Toc204942626"/>
      <w:r w:rsidRPr="007455A7">
        <w:rPr>
          <w:rFonts w:ascii="Arial" w:hAnsi="Arial" w:cs="Arial"/>
          <w:b/>
          <w:sz w:val="22"/>
          <w:szCs w:val="22"/>
        </w:rPr>
        <w:lastRenderedPageBreak/>
        <w:t>Общие положения</w:t>
      </w:r>
      <w:bookmarkEnd w:id="1"/>
    </w:p>
    <w:p w14:paraId="6B9F63CE" w14:textId="77777777" w:rsidR="00AF094D" w:rsidRDefault="00B9181C" w:rsidP="00FD32AE">
      <w:pPr>
        <w:pStyle w:val="a3"/>
        <w:numPr>
          <w:ilvl w:val="1"/>
          <w:numId w:val="14"/>
        </w:numPr>
        <w:tabs>
          <w:tab w:val="left" w:pos="0"/>
          <w:tab w:val="left" w:pos="1134"/>
        </w:tabs>
        <w:spacing w:before="120" w:after="120" w:line="360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 w:rsidRPr="007455A7">
        <w:rPr>
          <w:rFonts w:ascii="Arial" w:hAnsi="Arial" w:cs="Arial"/>
          <w:sz w:val="22"/>
          <w:szCs w:val="22"/>
        </w:rPr>
        <w:t xml:space="preserve">Настоящие </w:t>
      </w:r>
      <w:r w:rsidR="006D691F">
        <w:rPr>
          <w:rFonts w:ascii="Arial" w:hAnsi="Arial" w:cs="Arial"/>
          <w:sz w:val="22"/>
          <w:szCs w:val="22"/>
        </w:rPr>
        <w:t>Условия совершения операций с финансовыми инструментами Банка физическими лицами, включенными в список инсайдеров ББР Банка (АО</w:t>
      </w:r>
      <w:r w:rsidR="00D616DA">
        <w:rPr>
          <w:rFonts w:ascii="Arial" w:hAnsi="Arial" w:cs="Arial"/>
          <w:sz w:val="22"/>
          <w:szCs w:val="22"/>
        </w:rPr>
        <w:t>)</w:t>
      </w:r>
      <w:r w:rsidR="006D691F">
        <w:rPr>
          <w:rFonts w:ascii="Arial" w:hAnsi="Arial" w:cs="Arial"/>
          <w:sz w:val="22"/>
          <w:szCs w:val="22"/>
        </w:rPr>
        <w:t xml:space="preserve">, и связанными с ними лицами (далее – </w:t>
      </w:r>
      <w:r w:rsidR="006D691F" w:rsidRPr="006D691F">
        <w:rPr>
          <w:rFonts w:ascii="Arial" w:hAnsi="Arial" w:cs="Arial"/>
          <w:b/>
          <w:sz w:val="22"/>
          <w:szCs w:val="22"/>
        </w:rPr>
        <w:t>Условия</w:t>
      </w:r>
      <w:r w:rsidR="00D616DA">
        <w:rPr>
          <w:rFonts w:ascii="Arial" w:hAnsi="Arial" w:cs="Arial"/>
          <w:b/>
          <w:sz w:val="22"/>
          <w:szCs w:val="22"/>
        </w:rPr>
        <w:t>, Банк</w:t>
      </w:r>
      <w:r w:rsidR="006D691F">
        <w:rPr>
          <w:rFonts w:ascii="Arial" w:hAnsi="Arial" w:cs="Arial"/>
          <w:sz w:val="22"/>
          <w:szCs w:val="22"/>
        </w:rPr>
        <w:t xml:space="preserve">) </w:t>
      </w:r>
      <w:r w:rsidR="00FD32AE">
        <w:rPr>
          <w:rFonts w:ascii="Arial" w:hAnsi="Arial" w:cs="Arial"/>
          <w:sz w:val="22"/>
          <w:szCs w:val="22"/>
        </w:rPr>
        <w:t>разработаны в соответствии с требованиями пункта 3 статьи 11 Федерального закона от 27.07.2010 №</w:t>
      </w:r>
      <w:r w:rsidR="00FD32AE" w:rsidRPr="00FD32AE">
        <w:rPr>
          <w:rFonts w:ascii="Arial" w:hAnsi="Arial" w:cs="Arial"/>
          <w:sz w:val="22"/>
          <w:szCs w:val="22"/>
        </w:rPr>
        <w:t xml:space="preserve">224-ФЗ </w:t>
      </w:r>
      <w:r w:rsidR="00FD32AE">
        <w:rPr>
          <w:rFonts w:ascii="Arial" w:hAnsi="Arial" w:cs="Arial"/>
          <w:sz w:val="22"/>
          <w:szCs w:val="22"/>
        </w:rPr>
        <w:t>«О</w:t>
      </w:r>
      <w:r w:rsidR="00FD32AE" w:rsidRPr="00FD32AE">
        <w:rPr>
          <w:rFonts w:ascii="Arial" w:hAnsi="Arial" w:cs="Arial"/>
          <w:sz w:val="22"/>
          <w:szCs w:val="22"/>
        </w:rPr>
        <w:t xml:space="preserve">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</w:t>
      </w:r>
      <w:r w:rsidR="00FD32AE">
        <w:rPr>
          <w:rFonts w:ascii="Arial" w:hAnsi="Arial" w:cs="Arial"/>
          <w:sz w:val="22"/>
          <w:szCs w:val="22"/>
        </w:rPr>
        <w:t>»</w:t>
      </w:r>
      <w:r w:rsidR="00D616DA">
        <w:rPr>
          <w:rFonts w:ascii="Arial" w:hAnsi="Arial" w:cs="Arial"/>
          <w:sz w:val="22"/>
          <w:szCs w:val="22"/>
        </w:rPr>
        <w:t xml:space="preserve"> </w:t>
      </w:r>
      <w:r w:rsidR="00FD32AE">
        <w:rPr>
          <w:rFonts w:ascii="Arial" w:hAnsi="Arial" w:cs="Arial"/>
          <w:sz w:val="22"/>
          <w:szCs w:val="22"/>
        </w:rPr>
        <w:t xml:space="preserve">(далее – </w:t>
      </w:r>
      <w:r w:rsidR="00FD32AE" w:rsidRPr="00FD32AE">
        <w:rPr>
          <w:rFonts w:ascii="Arial" w:hAnsi="Arial" w:cs="Arial"/>
          <w:b/>
          <w:sz w:val="22"/>
          <w:szCs w:val="22"/>
        </w:rPr>
        <w:t>Закон №224-ФЗ</w:t>
      </w:r>
      <w:r w:rsidR="00D616DA">
        <w:rPr>
          <w:rFonts w:ascii="Arial" w:hAnsi="Arial" w:cs="Arial"/>
          <w:sz w:val="22"/>
          <w:szCs w:val="22"/>
        </w:rPr>
        <w:t>)</w:t>
      </w:r>
      <w:r w:rsidR="00A42A66">
        <w:rPr>
          <w:rFonts w:ascii="Arial" w:hAnsi="Arial" w:cs="Arial"/>
          <w:sz w:val="22"/>
          <w:szCs w:val="22"/>
        </w:rPr>
        <w:t xml:space="preserve"> и направлены на ограничение использования инсайдерской информации и (или) манипулирования рынком, предупреждение конфликта интересов</w:t>
      </w:r>
      <w:r w:rsidR="00F83F17">
        <w:rPr>
          <w:rStyle w:val="af2"/>
          <w:rFonts w:ascii="Arial" w:hAnsi="Arial" w:cs="Arial"/>
          <w:sz w:val="22"/>
          <w:szCs w:val="22"/>
        </w:rPr>
        <w:footnoteReference w:id="1"/>
      </w:r>
      <w:r w:rsidR="00A42A66">
        <w:rPr>
          <w:rFonts w:ascii="Arial" w:hAnsi="Arial" w:cs="Arial"/>
          <w:sz w:val="22"/>
          <w:szCs w:val="22"/>
        </w:rPr>
        <w:t xml:space="preserve"> Банка, его работников, клиентов и контрагентов, которые могут нанести ущерб деловой репутации Банка при осуществлении Инсайдерами Банка и Связанными лицами Собственных операций с Финансовыми инструментами.</w:t>
      </w:r>
    </w:p>
    <w:p w14:paraId="5CC4C4E1" w14:textId="77777777" w:rsidR="00B9181C" w:rsidRPr="00C71BC5" w:rsidRDefault="0075793A" w:rsidP="003E1BC9">
      <w:pPr>
        <w:pStyle w:val="a3"/>
        <w:numPr>
          <w:ilvl w:val="1"/>
          <w:numId w:val="14"/>
        </w:numPr>
        <w:tabs>
          <w:tab w:val="left" w:pos="0"/>
          <w:tab w:val="left" w:pos="1134"/>
        </w:tabs>
        <w:spacing w:before="120" w:after="120" w:line="360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Условия разработаны в целях</w:t>
      </w:r>
      <w:r w:rsidR="00B9181C" w:rsidRPr="00C71BC5">
        <w:rPr>
          <w:rFonts w:ascii="Arial" w:hAnsi="Arial" w:cs="Arial"/>
          <w:sz w:val="22"/>
          <w:szCs w:val="22"/>
        </w:rPr>
        <w:t>:</w:t>
      </w:r>
    </w:p>
    <w:p w14:paraId="03C1CD13" w14:textId="77777777" w:rsidR="00B9181C" w:rsidRPr="007455A7" w:rsidRDefault="0075793A" w:rsidP="003E1BC9">
      <w:pPr>
        <w:pStyle w:val="a3"/>
        <w:numPr>
          <w:ilvl w:val="1"/>
          <w:numId w:val="2"/>
        </w:numPr>
        <w:spacing w:before="120" w:after="120" w:line="360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предотвращения, выявления и пресечения случаев неправомерного использования инсайдерской информации и (или) манипулирования рынком </w:t>
      </w:r>
      <w:r w:rsidRPr="007455A7">
        <w:rPr>
          <w:rFonts w:ascii="Arial" w:hAnsi="Arial" w:cs="Arial"/>
          <w:sz w:val="22"/>
          <w:szCs w:val="22"/>
        </w:rPr>
        <w:t xml:space="preserve">(далее – </w:t>
      </w:r>
      <w:r>
        <w:rPr>
          <w:rFonts w:ascii="Arial" w:hAnsi="Arial" w:cs="Arial"/>
          <w:b/>
          <w:sz w:val="22"/>
          <w:szCs w:val="22"/>
        </w:rPr>
        <w:t>ПНИИИи</w:t>
      </w:r>
      <w:r w:rsidRPr="007455A7">
        <w:rPr>
          <w:rFonts w:ascii="Arial" w:hAnsi="Arial" w:cs="Arial"/>
          <w:b/>
          <w:sz w:val="22"/>
          <w:szCs w:val="22"/>
        </w:rPr>
        <w:t>МР</w:t>
      </w:r>
      <w:r w:rsidRPr="007455A7">
        <w:rPr>
          <w:rFonts w:ascii="Arial" w:hAnsi="Arial" w:cs="Arial"/>
          <w:sz w:val="22"/>
          <w:szCs w:val="22"/>
        </w:rPr>
        <w:t>)</w:t>
      </w:r>
      <w:r w:rsidR="00B9181C" w:rsidRPr="007455A7">
        <w:rPr>
          <w:rFonts w:ascii="Arial" w:hAnsi="Arial" w:cs="Arial"/>
          <w:sz w:val="22"/>
          <w:szCs w:val="22"/>
        </w:rPr>
        <w:t>;</w:t>
      </w:r>
    </w:p>
    <w:p w14:paraId="3CE50381" w14:textId="77777777" w:rsidR="00B9181C" w:rsidRDefault="0075793A" w:rsidP="003E1BC9">
      <w:pPr>
        <w:pStyle w:val="a3"/>
        <w:numPr>
          <w:ilvl w:val="1"/>
          <w:numId w:val="2"/>
        </w:numPr>
        <w:spacing w:before="120" w:after="120" w:line="360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защиты деловой репутации Банка;</w:t>
      </w:r>
    </w:p>
    <w:p w14:paraId="38C44F25" w14:textId="77777777" w:rsidR="0075793A" w:rsidRDefault="0075793A" w:rsidP="003E1BC9">
      <w:pPr>
        <w:pStyle w:val="a3"/>
        <w:numPr>
          <w:ilvl w:val="1"/>
          <w:numId w:val="2"/>
        </w:numPr>
        <w:spacing w:before="120" w:after="120" w:line="360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снижения риска финансовых потерь Банка;</w:t>
      </w:r>
    </w:p>
    <w:p w14:paraId="5E1D0BC4" w14:textId="6016BA15" w:rsidR="0075793A" w:rsidRDefault="0075793A" w:rsidP="003E1BC9">
      <w:pPr>
        <w:pStyle w:val="a3"/>
        <w:numPr>
          <w:ilvl w:val="1"/>
          <w:numId w:val="2"/>
        </w:numPr>
        <w:spacing w:before="120" w:after="120" w:line="360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защиты прав и имущественных интересов владельцев ценных бумаг;</w:t>
      </w:r>
    </w:p>
    <w:p w14:paraId="1B59496E" w14:textId="77777777" w:rsidR="0075793A" w:rsidRPr="007455A7" w:rsidRDefault="0075793A" w:rsidP="003E1BC9">
      <w:pPr>
        <w:pStyle w:val="a3"/>
        <w:numPr>
          <w:ilvl w:val="1"/>
          <w:numId w:val="2"/>
        </w:numPr>
        <w:spacing w:before="120" w:after="120" w:line="360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защиты работников Банка от необоснованных обвинений в неправомерном использовании инсайдерской информации или иной конфиденциальной информации.</w:t>
      </w:r>
    </w:p>
    <w:p w14:paraId="4B62B1AA" w14:textId="77777777" w:rsidR="00B9181C" w:rsidRDefault="00B9181C" w:rsidP="003E1BC9">
      <w:pPr>
        <w:pStyle w:val="a3"/>
        <w:numPr>
          <w:ilvl w:val="1"/>
          <w:numId w:val="14"/>
        </w:numPr>
        <w:tabs>
          <w:tab w:val="left" w:pos="0"/>
          <w:tab w:val="left" w:pos="1134"/>
        </w:tabs>
        <w:spacing w:before="120" w:after="120" w:line="360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 w:rsidRPr="007455A7">
        <w:rPr>
          <w:rFonts w:ascii="Arial" w:hAnsi="Arial" w:cs="Arial"/>
          <w:sz w:val="22"/>
          <w:szCs w:val="22"/>
        </w:rPr>
        <w:t xml:space="preserve">Правила обязательны для соблюдения и исполнения </w:t>
      </w:r>
      <w:r w:rsidR="00EF7872">
        <w:rPr>
          <w:rFonts w:ascii="Arial" w:hAnsi="Arial" w:cs="Arial"/>
          <w:sz w:val="22"/>
          <w:szCs w:val="22"/>
        </w:rPr>
        <w:t xml:space="preserve">лицами, указанными в пунктах </w:t>
      </w:r>
      <w:r w:rsidR="0075793A" w:rsidRPr="00AF094D">
        <w:rPr>
          <w:rFonts w:ascii="Arial" w:hAnsi="Arial" w:cs="Arial"/>
          <w:sz w:val="22"/>
          <w:szCs w:val="22"/>
        </w:rPr>
        <w:t xml:space="preserve">7 и </w:t>
      </w:r>
      <w:r w:rsidR="00EF7872">
        <w:rPr>
          <w:rFonts w:ascii="Arial" w:hAnsi="Arial" w:cs="Arial"/>
          <w:sz w:val="22"/>
          <w:szCs w:val="22"/>
        </w:rPr>
        <w:t xml:space="preserve">13 статьи </w:t>
      </w:r>
      <w:r w:rsidR="0075793A" w:rsidRPr="00AF094D">
        <w:rPr>
          <w:rFonts w:ascii="Arial" w:hAnsi="Arial" w:cs="Arial"/>
          <w:sz w:val="22"/>
          <w:szCs w:val="22"/>
        </w:rPr>
        <w:t>4 Закона №224-ФЗ, включенными в список инсайдеров Банка, и связанными с ними лицами</w:t>
      </w:r>
      <w:r w:rsidRPr="007455A7">
        <w:rPr>
          <w:rFonts w:ascii="Arial" w:hAnsi="Arial" w:cs="Arial"/>
          <w:sz w:val="22"/>
          <w:szCs w:val="22"/>
        </w:rPr>
        <w:t>.</w:t>
      </w:r>
    </w:p>
    <w:p w14:paraId="2446A325" w14:textId="77777777" w:rsidR="0075793A" w:rsidRDefault="0075793A" w:rsidP="003E1BC9">
      <w:pPr>
        <w:pStyle w:val="a3"/>
        <w:numPr>
          <w:ilvl w:val="1"/>
          <w:numId w:val="14"/>
        </w:numPr>
        <w:tabs>
          <w:tab w:val="left" w:pos="0"/>
          <w:tab w:val="left" w:pos="1134"/>
        </w:tabs>
        <w:spacing w:before="120" w:after="120" w:line="360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Условиями установлены ограничения </w:t>
      </w:r>
      <w:r w:rsidR="00A42A66">
        <w:rPr>
          <w:rFonts w:ascii="Arial" w:hAnsi="Arial" w:cs="Arial"/>
          <w:sz w:val="22"/>
          <w:szCs w:val="22"/>
        </w:rPr>
        <w:t>на совершение И</w:t>
      </w:r>
      <w:r>
        <w:rPr>
          <w:rFonts w:ascii="Arial" w:hAnsi="Arial" w:cs="Arial"/>
          <w:sz w:val="22"/>
          <w:szCs w:val="22"/>
        </w:rPr>
        <w:t>нсайдерами Банка и Связанными с ними лицами операций с Финансовыми инструментами, а также определены действия, которые указанные лица должны выполнять для соблюдения требований Закона №224-ФЗ и принятых в соответствии с ним нормативных актов Банка России.</w:t>
      </w:r>
    </w:p>
    <w:p w14:paraId="44ED9ADB" w14:textId="77777777" w:rsidR="00A42A66" w:rsidRDefault="00267707" w:rsidP="003E1BC9">
      <w:pPr>
        <w:pStyle w:val="a3"/>
        <w:numPr>
          <w:ilvl w:val="1"/>
          <w:numId w:val="14"/>
        </w:numPr>
        <w:tabs>
          <w:tab w:val="left" w:pos="0"/>
          <w:tab w:val="left" w:pos="1134"/>
        </w:tabs>
        <w:spacing w:before="120" w:after="120" w:line="360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Любые действия, связанные с обработкой персональных данных, осуществляем</w:t>
      </w:r>
      <w:r w:rsidR="007C41B2">
        <w:rPr>
          <w:rFonts w:ascii="Arial" w:hAnsi="Arial" w:cs="Arial"/>
          <w:sz w:val="22"/>
          <w:szCs w:val="22"/>
        </w:rPr>
        <w:t>ые по настоящим Условиям, производятся в соответствии с требованиями законодательства российской Федерации о персональных данных и внутренних документов Банка, регламентирующих порядок работы с персональными данными.</w:t>
      </w:r>
    </w:p>
    <w:p w14:paraId="6A5AAA48" w14:textId="77777777" w:rsidR="00FC2581" w:rsidRDefault="00B9181C" w:rsidP="00D06769">
      <w:pPr>
        <w:pStyle w:val="a3"/>
        <w:numPr>
          <w:ilvl w:val="0"/>
          <w:numId w:val="14"/>
        </w:numPr>
        <w:tabs>
          <w:tab w:val="left" w:pos="567"/>
        </w:tabs>
        <w:autoSpaceDE w:val="0"/>
        <w:autoSpaceDN w:val="0"/>
        <w:adjustRightInd w:val="0"/>
        <w:spacing w:before="120" w:after="120" w:line="360" w:lineRule="auto"/>
        <w:ind w:left="567" w:hanging="567"/>
        <w:contextualSpacing w:val="0"/>
        <w:jc w:val="both"/>
        <w:outlineLvl w:val="0"/>
        <w:rPr>
          <w:rFonts w:ascii="Arial" w:hAnsi="Arial" w:cs="Arial"/>
          <w:b/>
          <w:sz w:val="22"/>
          <w:szCs w:val="22"/>
        </w:rPr>
      </w:pPr>
      <w:bookmarkStart w:id="2" w:name="_Toc204942627"/>
      <w:r w:rsidRPr="007455A7">
        <w:rPr>
          <w:rFonts w:ascii="Arial" w:hAnsi="Arial" w:cs="Arial"/>
          <w:b/>
          <w:sz w:val="22"/>
          <w:szCs w:val="22"/>
        </w:rPr>
        <w:lastRenderedPageBreak/>
        <w:t>Термины и определения</w:t>
      </w:r>
      <w:bookmarkEnd w:id="2"/>
    </w:p>
    <w:p w14:paraId="33438D7C" w14:textId="77777777" w:rsidR="00FC2581" w:rsidRPr="000E52DB" w:rsidRDefault="00B9181C" w:rsidP="00935C15">
      <w:pPr>
        <w:pStyle w:val="a3"/>
        <w:numPr>
          <w:ilvl w:val="1"/>
          <w:numId w:val="14"/>
        </w:numPr>
        <w:tabs>
          <w:tab w:val="left" w:pos="0"/>
          <w:tab w:val="left" w:pos="1134"/>
        </w:tabs>
        <w:spacing w:before="120" w:after="120" w:line="360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 w:rsidRPr="00935C15">
        <w:rPr>
          <w:rFonts w:ascii="Arial" w:hAnsi="Arial" w:cs="Arial"/>
          <w:b/>
          <w:sz w:val="22"/>
          <w:szCs w:val="22"/>
        </w:rPr>
        <w:t>Инсайдер</w:t>
      </w:r>
      <w:r w:rsidR="00935C15" w:rsidRPr="00935C15">
        <w:rPr>
          <w:rFonts w:ascii="Arial" w:hAnsi="Arial" w:cs="Arial"/>
          <w:b/>
          <w:sz w:val="22"/>
          <w:szCs w:val="22"/>
        </w:rPr>
        <w:t>ы</w:t>
      </w:r>
      <w:r w:rsidR="00FC2581" w:rsidRPr="00935C15">
        <w:rPr>
          <w:rFonts w:ascii="Arial" w:hAnsi="Arial" w:cs="Arial"/>
          <w:sz w:val="22"/>
          <w:szCs w:val="22"/>
        </w:rPr>
        <w:t xml:space="preserve"> – </w:t>
      </w:r>
      <w:r w:rsidR="00AF3539" w:rsidRPr="00935C15">
        <w:rPr>
          <w:rFonts w:ascii="Arial" w:hAnsi="Arial" w:cs="Arial"/>
          <w:sz w:val="22"/>
          <w:szCs w:val="22"/>
        </w:rPr>
        <w:t xml:space="preserve">физические лица, включенные в Список инсайдеров Банка в качестве лиц, указанных в пунктах 7 и 13 статьи 4 Закона №224-ФЗ, в том </w:t>
      </w:r>
      <w:r w:rsidR="00935C15" w:rsidRPr="00935C15">
        <w:rPr>
          <w:rFonts w:ascii="Arial" w:hAnsi="Arial" w:cs="Arial"/>
          <w:sz w:val="22"/>
          <w:szCs w:val="22"/>
        </w:rPr>
        <w:t xml:space="preserve">числе, </w:t>
      </w:r>
      <w:r w:rsidR="00AF3539" w:rsidRPr="00935C15">
        <w:rPr>
          <w:rFonts w:ascii="Arial" w:hAnsi="Arial" w:cs="Arial"/>
          <w:sz w:val="22"/>
          <w:szCs w:val="22"/>
        </w:rPr>
        <w:t xml:space="preserve">члены Совета директоров Банка, Председатель Правления Банка, члены Правления Банка, </w:t>
      </w:r>
      <w:r w:rsidR="00AF3539" w:rsidRPr="000E52DB">
        <w:rPr>
          <w:rFonts w:ascii="Arial" w:hAnsi="Arial" w:cs="Arial"/>
          <w:sz w:val="22"/>
          <w:szCs w:val="22"/>
        </w:rPr>
        <w:t>физические лица, имеющие доступ к Инсайдерской информации Банка на основании трудовых и (или) гражданско-правовых договоров</w:t>
      </w:r>
      <w:r w:rsidR="00A37787" w:rsidRPr="000E52DB">
        <w:rPr>
          <w:rFonts w:ascii="Arial" w:hAnsi="Arial" w:cs="Arial"/>
          <w:sz w:val="22"/>
          <w:szCs w:val="22"/>
        </w:rPr>
        <w:t>, заключенных с Б</w:t>
      </w:r>
      <w:r w:rsidR="00AF3539" w:rsidRPr="000E52DB">
        <w:rPr>
          <w:rFonts w:ascii="Arial" w:hAnsi="Arial" w:cs="Arial"/>
          <w:sz w:val="22"/>
          <w:szCs w:val="22"/>
        </w:rPr>
        <w:t>анком.</w:t>
      </w:r>
    </w:p>
    <w:p w14:paraId="41979527" w14:textId="77777777" w:rsidR="00386846" w:rsidRPr="007455A7" w:rsidRDefault="00B9181C" w:rsidP="008106CD">
      <w:pPr>
        <w:pStyle w:val="a3"/>
        <w:numPr>
          <w:ilvl w:val="1"/>
          <w:numId w:val="14"/>
        </w:numPr>
        <w:tabs>
          <w:tab w:val="left" w:pos="0"/>
          <w:tab w:val="left" w:pos="1134"/>
        </w:tabs>
        <w:spacing w:before="120" w:after="120" w:line="360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 w:rsidRPr="007455A7">
        <w:rPr>
          <w:rFonts w:ascii="Arial" w:hAnsi="Arial" w:cs="Arial"/>
          <w:b/>
          <w:sz w:val="22"/>
          <w:szCs w:val="22"/>
        </w:rPr>
        <w:t>Инсайдерская информация</w:t>
      </w:r>
      <w:r w:rsidRPr="007455A7">
        <w:rPr>
          <w:rFonts w:ascii="Arial" w:hAnsi="Arial" w:cs="Arial"/>
          <w:sz w:val="22"/>
          <w:szCs w:val="22"/>
        </w:rPr>
        <w:t xml:space="preserve"> - точная и конкретная информация, которая не была распространена (в том числе сведения, составляющие коммерческую, служебную, банковскую тайну, тайну связи (в части информации о почтовых переводах денежных средств) и иную охраняемую законом тайну) и распространение которой может оказат</w:t>
      </w:r>
      <w:r w:rsidR="00FC2581" w:rsidRPr="007455A7">
        <w:rPr>
          <w:rFonts w:ascii="Arial" w:hAnsi="Arial" w:cs="Arial"/>
          <w:sz w:val="22"/>
          <w:szCs w:val="22"/>
        </w:rPr>
        <w:t>ь существенное влияние на цены ф</w:t>
      </w:r>
      <w:r w:rsidRPr="007455A7">
        <w:rPr>
          <w:rFonts w:ascii="Arial" w:hAnsi="Arial" w:cs="Arial"/>
          <w:sz w:val="22"/>
          <w:szCs w:val="22"/>
        </w:rPr>
        <w:t>инансовых инструментов</w:t>
      </w:r>
      <w:r w:rsidR="00FC2581" w:rsidRPr="007455A7">
        <w:rPr>
          <w:rFonts w:ascii="Arial" w:hAnsi="Arial" w:cs="Arial"/>
          <w:sz w:val="22"/>
          <w:szCs w:val="22"/>
        </w:rPr>
        <w:t>, иностранной валюты и (или) товаров</w:t>
      </w:r>
      <w:r w:rsidRPr="007455A7">
        <w:rPr>
          <w:rFonts w:ascii="Arial" w:hAnsi="Arial" w:cs="Arial"/>
          <w:sz w:val="22"/>
          <w:szCs w:val="22"/>
        </w:rPr>
        <w:t xml:space="preserve"> (в том числе сведения, касающиеся одного или нескольких эми</w:t>
      </w:r>
      <w:r w:rsidR="00385B0F" w:rsidRPr="007455A7">
        <w:rPr>
          <w:rFonts w:ascii="Arial" w:hAnsi="Arial" w:cs="Arial"/>
          <w:sz w:val="22"/>
          <w:szCs w:val="22"/>
        </w:rPr>
        <w:t>тентов эмиссионных ценных бумаг</w:t>
      </w:r>
      <w:r w:rsidR="00FC2581" w:rsidRPr="007455A7">
        <w:rPr>
          <w:rFonts w:ascii="Arial" w:hAnsi="Arial" w:cs="Arial"/>
          <w:sz w:val="22"/>
          <w:szCs w:val="22"/>
        </w:rPr>
        <w:t xml:space="preserve">, </w:t>
      </w:r>
      <w:r w:rsidRPr="007455A7">
        <w:rPr>
          <w:rFonts w:ascii="Arial" w:hAnsi="Arial" w:cs="Arial"/>
          <w:sz w:val="22"/>
          <w:szCs w:val="22"/>
        </w:rPr>
        <w:t>одной или нескольких управляющих компаний инвестиционных фондов, паевых инвестиционных фондов и негосударственных пенсионных фондов либо одно</w:t>
      </w:r>
      <w:r w:rsidR="00FC2581" w:rsidRPr="007455A7">
        <w:rPr>
          <w:rFonts w:ascii="Arial" w:hAnsi="Arial" w:cs="Arial"/>
          <w:sz w:val="22"/>
          <w:szCs w:val="22"/>
        </w:rPr>
        <w:t>го или нескольких ф</w:t>
      </w:r>
      <w:r w:rsidRPr="007455A7">
        <w:rPr>
          <w:rFonts w:ascii="Arial" w:hAnsi="Arial" w:cs="Arial"/>
          <w:sz w:val="22"/>
          <w:szCs w:val="22"/>
        </w:rPr>
        <w:t>инансовых инструментов</w:t>
      </w:r>
      <w:r w:rsidR="00FC2581" w:rsidRPr="007455A7">
        <w:rPr>
          <w:rFonts w:ascii="Arial" w:hAnsi="Arial" w:cs="Arial"/>
          <w:sz w:val="22"/>
          <w:szCs w:val="22"/>
        </w:rPr>
        <w:t>, иностранной валюты и (или) товаров</w:t>
      </w:r>
      <w:r w:rsidR="008D099D" w:rsidRPr="007455A7">
        <w:rPr>
          <w:rFonts w:ascii="Arial" w:hAnsi="Arial" w:cs="Arial"/>
          <w:sz w:val="22"/>
          <w:szCs w:val="22"/>
        </w:rPr>
        <w:t>).</w:t>
      </w:r>
    </w:p>
    <w:p w14:paraId="6F41E177" w14:textId="77777777" w:rsidR="00EF10AD" w:rsidRDefault="00B9181C" w:rsidP="00A03CD6">
      <w:pPr>
        <w:pStyle w:val="a3"/>
        <w:numPr>
          <w:ilvl w:val="1"/>
          <w:numId w:val="14"/>
        </w:numPr>
        <w:tabs>
          <w:tab w:val="left" w:pos="1134"/>
        </w:tabs>
        <w:spacing w:before="120" w:after="120" w:line="360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 w:rsidRPr="007455A7">
        <w:rPr>
          <w:rFonts w:ascii="Arial" w:hAnsi="Arial" w:cs="Arial"/>
          <w:b/>
          <w:sz w:val="22"/>
          <w:szCs w:val="22"/>
        </w:rPr>
        <w:t xml:space="preserve">Манипулирование рынком </w:t>
      </w:r>
      <w:r w:rsidR="00EF10AD" w:rsidRPr="007455A7">
        <w:rPr>
          <w:rFonts w:ascii="Arial" w:hAnsi="Arial" w:cs="Arial"/>
          <w:sz w:val="22"/>
          <w:szCs w:val="22"/>
        </w:rPr>
        <w:t>–</w:t>
      </w:r>
      <w:r w:rsidRPr="007455A7">
        <w:rPr>
          <w:rFonts w:ascii="Arial" w:hAnsi="Arial" w:cs="Arial"/>
          <w:sz w:val="22"/>
          <w:szCs w:val="22"/>
        </w:rPr>
        <w:t xml:space="preserve"> умышленные</w:t>
      </w:r>
      <w:r w:rsidR="00EF10AD" w:rsidRPr="007455A7">
        <w:rPr>
          <w:rFonts w:ascii="Arial" w:hAnsi="Arial" w:cs="Arial"/>
          <w:sz w:val="22"/>
          <w:szCs w:val="22"/>
        </w:rPr>
        <w:t xml:space="preserve"> </w:t>
      </w:r>
      <w:r w:rsidRPr="007455A7">
        <w:rPr>
          <w:rFonts w:ascii="Arial" w:hAnsi="Arial" w:cs="Arial"/>
          <w:sz w:val="22"/>
          <w:szCs w:val="22"/>
        </w:rPr>
        <w:t xml:space="preserve">действия, которые определены законодательством Российской Федерации о </w:t>
      </w:r>
      <w:r w:rsidR="00EF10AD" w:rsidRPr="007455A7">
        <w:rPr>
          <w:rFonts w:ascii="Arial" w:hAnsi="Arial" w:cs="Arial"/>
          <w:sz w:val="22"/>
          <w:szCs w:val="22"/>
        </w:rPr>
        <w:t>П</w:t>
      </w:r>
      <w:r w:rsidRPr="007455A7">
        <w:rPr>
          <w:rFonts w:ascii="Arial" w:hAnsi="Arial" w:cs="Arial"/>
          <w:sz w:val="22"/>
          <w:szCs w:val="22"/>
        </w:rPr>
        <w:t>НИИИ</w:t>
      </w:r>
      <w:r w:rsidR="009841EB">
        <w:rPr>
          <w:rFonts w:ascii="Arial" w:hAnsi="Arial" w:cs="Arial"/>
          <w:sz w:val="22"/>
          <w:szCs w:val="22"/>
        </w:rPr>
        <w:t>и</w:t>
      </w:r>
      <w:r w:rsidRPr="007455A7">
        <w:rPr>
          <w:rFonts w:ascii="Arial" w:hAnsi="Arial" w:cs="Arial"/>
          <w:sz w:val="22"/>
          <w:szCs w:val="22"/>
        </w:rPr>
        <w:t>МР или нормативными актами Банка России, в результате которых цена, спрос</w:t>
      </w:r>
      <w:r w:rsidR="00EF10AD" w:rsidRPr="007455A7">
        <w:rPr>
          <w:rFonts w:ascii="Arial" w:hAnsi="Arial" w:cs="Arial"/>
          <w:sz w:val="22"/>
          <w:szCs w:val="22"/>
        </w:rPr>
        <w:t>, предложение или объем торгов ф</w:t>
      </w:r>
      <w:r w:rsidRPr="007455A7">
        <w:rPr>
          <w:rFonts w:ascii="Arial" w:hAnsi="Arial" w:cs="Arial"/>
          <w:sz w:val="22"/>
          <w:szCs w:val="22"/>
        </w:rPr>
        <w:t>инансовым инструменто</w:t>
      </w:r>
      <w:r w:rsidR="00385B0F" w:rsidRPr="007455A7">
        <w:rPr>
          <w:rFonts w:ascii="Arial" w:hAnsi="Arial" w:cs="Arial"/>
          <w:sz w:val="22"/>
          <w:szCs w:val="22"/>
        </w:rPr>
        <w:t>м, иностранной валютой и (или) т</w:t>
      </w:r>
      <w:r w:rsidRPr="007455A7">
        <w:rPr>
          <w:rFonts w:ascii="Arial" w:hAnsi="Arial" w:cs="Arial"/>
          <w:sz w:val="22"/>
          <w:szCs w:val="22"/>
        </w:rPr>
        <w:t>оваром отклонились от уровня или поддерживались на уровне, существенно отличающемся от того уровня, который сформировался бы без таких действий.</w:t>
      </w:r>
    </w:p>
    <w:p w14:paraId="4D738C70" w14:textId="77777777" w:rsidR="00A37787" w:rsidRDefault="00A37787" w:rsidP="00A03CD6">
      <w:pPr>
        <w:pStyle w:val="a3"/>
        <w:numPr>
          <w:ilvl w:val="1"/>
          <w:numId w:val="14"/>
        </w:numPr>
        <w:tabs>
          <w:tab w:val="left" w:pos="1134"/>
        </w:tabs>
        <w:spacing w:before="120" w:after="120" w:line="360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Контроль </w:t>
      </w:r>
      <w:r>
        <w:rPr>
          <w:rFonts w:ascii="Arial" w:hAnsi="Arial" w:cs="Arial"/>
          <w:sz w:val="22"/>
          <w:szCs w:val="22"/>
        </w:rPr>
        <w:t>–</w:t>
      </w:r>
      <w:r w:rsidRPr="00A3778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владение большинством голосов на общем собрании акционеров/участников организации или наличие у Инсайдера иной возможности единолично определять решения, принимаемые организацией.</w:t>
      </w:r>
    </w:p>
    <w:p w14:paraId="64DF886A" w14:textId="77777777" w:rsidR="00EF10AD" w:rsidRDefault="00B9181C" w:rsidP="00A03CD6">
      <w:pPr>
        <w:pStyle w:val="a3"/>
        <w:numPr>
          <w:ilvl w:val="1"/>
          <w:numId w:val="14"/>
        </w:numPr>
        <w:tabs>
          <w:tab w:val="left" w:pos="1134"/>
        </w:tabs>
        <w:spacing w:before="120" w:after="120" w:line="360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 w:rsidRPr="007455A7">
        <w:rPr>
          <w:rFonts w:ascii="Arial" w:hAnsi="Arial" w:cs="Arial"/>
          <w:b/>
          <w:sz w:val="22"/>
          <w:szCs w:val="22"/>
        </w:rPr>
        <w:t>Операции с финансовыми инструментами</w:t>
      </w:r>
      <w:r w:rsidR="000E52DB">
        <w:rPr>
          <w:rFonts w:ascii="Arial" w:hAnsi="Arial" w:cs="Arial"/>
          <w:b/>
          <w:sz w:val="22"/>
          <w:szCs w:val="22"/>
        </w:rPr>
        <w:t xml:space="preserve"> </w:t>
      </w:r>
      <w:r w:rsidR="00EF10AD" w:rsidRPr="007455A7">
        <w:rPr>
          <w:rFonts w:ascii="Arial" w:hAnsi="Arial" w:cs="Arial"/>
          <w:sz w:val="22"/>
          <w:szCs w:val="22"/>
        </w:rPr>
        <w:t>–</w:t>
      </w:r>
      <w:r w:rsidRPr="007455A7">
        <w:rPr>
          <w:rFonts w:ascii="Arial" w:hAnsi="Arial" w:cs="Arial"/>
          <w:sz w:val="22"/>
          <w:szCs w:val="22"/>
        </w:rPr>
        <w:t xml:space="preserve"> совершение</w:t>
      </w:r>
      <w:r w:rsidR="00EF10AD" w:rsidRPr="007455A7">
        <w:rPr>
          <w:rFonts w:ascii="Arial" w:hAnsi="Arial" w:cs="Arial"/>
          <w:sz w:val="22"/>
          <w:szCs w:val="22"/>
        </w:rPr>
        <w:t xml:space="preserve"> </w:t>
      </w:r>
      <w:r w:rsidRPr="007455A7">
        <w:rPr>
          <w:rFonts w:ascii="Arial" w:hAnsi="Arial" w:cs="Arial"/>
          <w:sz w:val="22"/>
          <w:szCs w:val="22"/>
        </w:rPr>
        <w:t>сделок и иные действия, направленные на приобретение, отчуждение, иное изменение прав на финансовые инструменты, иностранную валюту и (или) товары, а также действия, связанные с принятием обязательств совершить указанные действия, в том числе выставление заявок (дача поручений) или отмена таких заявок.</w:t>
      </w:r>
    </w:p>
    <w:p w14:paraId="6E8141A4" w14:textId="77777777" w:rsidR="00A42A66" w:rsidRPr="007455A7" w:rsidRDefault="00A42A66" w:rsidP="00A03CD6">
      <w:pPr>
        <w:pStyle w:val="a3"/>
        <w:numPr>
          <w:ilvl w:val="1"/>
          <w:numId w:val="14"/>
        </w:numPr>
        <w:tabs>
          <w:tab w:val="left" w:pos="1134"/>
        </w:tabs>
        <w:spacing w:before="120" w:after="120" w:line="360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Собственные операции </w:t>
      </w:r>
      <w:r w:rsidR="00B44F6F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B44F6F">
        <w:rPr>
          <w:rFonts w:ascii="Arial" w:hAnsi="Arial" w:cs="Arial"/>
          <w:sz w:val="22"/>
          <w:szCs w:val="22"/>
        </w:rPr>
        <w:t>сделки с Финансовыми инструментами, осуществляемые Инсайдерами Банка и Связанными с ними лицами по их поручению или за их счет, самостоятельно или через профессиональных участников рынка ценных бумаг.</w:t>
      </w:r>
    </w:p>
    <w:p w14:paraId="6FC0296F" w14:textId="77777777" w:rsidR="00867B72" w:rsidRDefault="00867B72" w:rsidP="00867B72">
      <w:pPr>
        <w:pStyle w:val="a3"/>
        <w:numPr>
          <w:ilvl w:val="1"/>
          <w:numId w:val="14"/>
        </w:numPr>
        <w:tabs>
          <w:tab w:val="left" w:pos="1134"/>
        </w:tabs>
        <w:spacing w:before="120" w:after="120" w:line="360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Ответственное должностное лицо</w:t>
      </w:r>
      <w:r w:rsidRPr="00867B72">
        <w:rPr>
          <w:rFonts w:ascii="Arial" w:hAnsi="Arial" w:cs="Arial"/>
          <w:sz w:val="22"/>
          <w:szCs w:val="22"/>
        </w:rPr>
        <w:t xml:space="preserve"> – работник Банка, в обязанности которого входит осуществление контроля за соблюдением требований в области ПНИИИи</w:t>
      </w:r>
      <w:r>
        <w:rPr>
          <w:rFonts w:ascii="Arial" w:hAnsi="Arial" w:cs="Arial"/>
          <w:sz w:val="22"/>
          <w:szCs w:val="22"/>
        </w:rPr>
        <w:t>МР.</w:t>
      </w:r>
    </w:p>
    <w:p w14:paraId="3A028714" w14:textId="77777777" w:rsidR="00A37787" w:rsidRPr="00867B72" w:rsidRDefault="00A37787" w:rsidP="00867B72">
      <w:pPr>
        <w:pStyle w:val="a3"/>
        <w:numPr>
          <w:ilvl w:val="1"/>
          <w:numId w:val="14"/>
        </w:numPr>
        <w:tabs>
          <w:tab w:val="left" w:pos="1134"/>
        </w:tabs>
        <w:spacing w:before="120" w:after="120" w:line="360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Связанные лица </w:t>
      </w:r>
      <w:r>
        <w:rPr>
          <w:rFonts w:ascii="Arial" w:hAnsi="Arial" w:cs="Arial"/>
          <w:sz w:val="22"/>
          <w:szCs w:val="22"/>
        </w:rPr>
        <w:t>– члены семей</w:t>
      </w:r>
      <w:r w:rsidR="00B44F6F">
        <w:rPr>
          <w:rStyle w:val="af2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 xml:space="preserve"> Инсайдеров и другие лица, на деятельность которых они способны оказывать влияние, а также организации, находящиеся под прямым или косвенным Контролем Инсайдера.</w:t>
      </w:r>
    </w:p>
    <w:p w14:paraId="0E04D892" w14:textId="77777777" w:rsidR="00CF292C" w:rsidRPr="00D03E1E" w:rsidRDefault="00B44F6F" w:rsidP="007C41B2">
      <w:pPr>
        <w:pStyle w:val="a3"/>
        <w:numPr>
          <w:ilvl w:val="0"/>
          <w:numId w:val="14"/>
        </w:numPr>
        <w:tabs>
          <w:tab w:val="left" w:pos="567"/>
        </w:tabs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Условия совершения операций с Финансовыми инструментами</w:t>
      </w:r>
    </w:p>
    <w:p w14:paraId="6AF50565" w14:textId="77777777" w:rsidR="00B44F6F" w:rsidRPr="00B1010B" w:rsidRDefault="00B44F6F" w:rsidP="00B44F6F">
      <w:pPr>
        <w:pStyle w:val="a3"/>
        <w:numPr>
          <w:ilvl w:val="1"/>
          <w:numId w:val="14"/>
        </w:numPr>
        <w:tabs>
          <w:tab w:val="left" w:pos="1134"/>
        </w:tabs>
        <w:spacing w:before="120" w:after="120" w:line="360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 w:rsidRPr="00B1010B">
        <w:rPr>
          <w:rFonts w:ascii="Arial" w:hAnsi="Arial" w:cs="Arial"/>
          <w:sz w:val="22"/>
          <w:szCs w:val="22"/>
        </w:rPr>
        <w:t>Запрещается использование Инсайдерской информации:</w:t>
      </w:r>
    </w:p>
    <w:p w14:paraId="54DCE1E9" w14:textId="77777777" w:rsidR="00B44F6F" w:rsidRDefault="00B44F6F" w:rsidP="00B44F6F">
      <w:pPr>
        <w:pStyle w:val="a3"/>
        <w:numPr>
          <w:ilvl w:val="2"/>
          <w:numId w:val="14"/>
        </w:numPr>
        <w:tabs>
          <w:tab w:val="left" w:pos="1134"/>
        </w:tabs>
        <w:spacing w:before="120" w:after="120" w:line="360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 w:rsidRPr="00B44F6F">
        <w:rPr>
          <w:rFonts w:ascii="Arial" w:hAnsi="Arial" w:cs="Arial"/>
          <w:sz w:val="22"/>
          <w:szCs w:val="22"/>
        </w:rPr>
        <w:t>для осуществления Операций с финансовыми инструментами, иностранной валютой и (или) товарами, которых касается Инсайдерская информация, за свой счет или за счет третьего лица, за исключением совершения операций в рамках исполнения обязательства по покупке или продаже финансовых инструментов, иностранной валюты и (или) товаров, срок исполнения которого наступил, если такое обязательство возникло в результате Операции, совершенной до того, как лицу стала известна Инсайдерская информация;</w:t>
      </w:r>
    </w:p>
    <w:p w14:paraId="38D388FA" w14:textId="77777777" w:rsidR="00B1010B" w:rsidRPr="00B1010B" w:rsidRDefault="00B44F6F" w:rsidP="00B1010B">
      <w:pPr>
        <w:pStyle w:val="a3"/>
        <w:numPr>
          <w:ilvl w:val="2"/>
          <w:numId w:val="14"/>
        </w:numPr>
        <w:tabs>
          <w:tab w:val="left" w:pos="1134"/>
        </w:tabs>
        <w:spacing w:before="120" w:after="120" w:line="360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 w:rsidRPr="00B44F6F">
        <w:rPr>
          <w:rFonts w:ascii="Arial" w:eastAsiaTheme="minorHAnsi" w:hAnsi="Arial" w:cs="Arial"/>
          <w:sz w:val="22"/>
          <w:szCs w:val="22"/>
          <w:lang w:eastAsia="en-US"/>
        </w:rPr>
        <w:t>путем передачи ее другому лицу, за исключением случаев передачи этой информации лицу, включенному в список инсайдеров, в связи с исполнением обязанностей, установленных федеральными законами, либо в связи с исполнением трудовых обязанностей или исполнением договора;</w:t>
      </w:r>
    </w:p>
    <w:p w14:paraId="263AB6CA" w14:textId="77777777" w:rsidR="00B44F6F" w:rsidRPr="00B1010B" w:rsidRDefault="00B44F6F" w:rsidP="00B1010B">
      <w:pPr>
        <w:pStyle w:val="a3"/>
        <w:numPr>
          <w:ilvl w:val="2"/>
          <w:numId w:val="14"/>
        </w:numPr>
        <w:tabs>
          <w:tab w:val="left" w:pos="1134"/>
        </w:tabs>
        <w:spacing w:before="120" w:after="120" w:line="360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 w:rsidRPr="00B1010B">
        <w:rPr>
          <w:rFonts w:ascii="Arial" w:eastAsiaTheme="minorHAnsi" w:hAnsi="Arial" w:cs="Arial"/>
          <w:sz w:val="22"/>
          <w:szCs w:val="22"/>
          <w:lang w:eastAsia="en-US"/>
        </w:rPr>
        <w:t>путем дачи рекомендаций третьим лицам, обязывания или побуждения их иным образом к приобретению или продаже финансовых инструментов, иностранной валюты и (или) товаров.</w:t>
      </w:r>
    </w:p>
    <w:p w14:paraId="3583204D" w14:textId="77777777" w:rsidR="00B1010B" w:rsidRDefault="00B1010B" w:rsidP="00B1010B">
      <w:pPr>
        <w:pStyle w:val="a3"/>
        <w:numPr>
          <w:ilvl w:val="1"/>
          <w:numId w:val="14"/>
        </w:numPr>
        <w:tabs>
          <w:tab w:val="left" w:pos="1134"/>
        </w:tabs>
        <w:spacing w:before="120" w:after="120" w:line="360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Запрещается осуществлять действия, относящиеся в соответствии с Законом №224-ФЗ к Манипулированию рынком.</w:t>
      </w:r>
    </w:p>
    <w:p w14:paraId="027AF74E" w14:textId="77777777" w:rsidR="00B1010B" w:rsidRDefault="00B1010B" w:rsidP="00B1010B">
      <w:pPr>
        <w:pStyle w:val="a3"/>
        <w:numPr>
          <w:ilvl w:val="1"/>
          <w:numId w:val="14"/>
        </w:numPr>
        <w:tabs>
          <w:tab w:val="left" w:pos="1134"/>
        </w:tabs>
        <w:spacing w:before="120" w:after="120" w:line="360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Инсайдеры и Связанные лица должны воздерживаться от осуществления Операций с Финансовыми инструментами, иностранной валютой и (или) товарами, в результате совершения которых может возникнуть основание полагать, что была неправомерно использована полученная ими Инсайдерская информация.</w:t>
      </w:r>
    </w:p>
    <w:p w14:paraId="426E09D5" w14:textId="10694063" w:rsidR="008106CD" w:rsidRDefault="008106CD" w:rsidP="00B1010B">
      <w:pPr>
        <w:pStyle w:val="a3"/>
        <w:numPr>
          <w:ilvl w:val="1"/>
          <w:numId w:val="14"/>
        </w:numPr>
        <w:tabs>
          <w:tab w:val="left" w:pos="1134"/>
        </w:tabs>
        <w:spacing w:before="120" w:after="120" w:line="360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Банк вправе запросить у Инсайдеров информацию об осуществленных ими операциях с Финансовыми инструментами, которых касается Инсайдерская информация, к которой они имеют доступ. Инсайдеры, получившие запрос, обязаны предоставить запрашиваемую информацию в порядки и сроки, которые установлены нормативным актом</w:t>
      </w:r>
      <w:r w:rsidR="001F3655">
        <w:rPr>
          <w:rStyle w:val="af2"/>
          <w:rFonts w:ascii="Arial" w:hAnsi="Arial" w:cs="Arial"/>
          <w:sz w:val="22"/>
          <w:szCs w:val="22"/>
        </w:rPr>
        <w:footnoteReference w:id="3"/>
      </w:r>
      <w:r>
        <w:rPr>
          <w:rFonts w:ascii="Arial" w:hAnsi="Arial" w:cs="Arial"/>
          <w:sz w:val="22"/>
          <w:szCs w:val="22"/>
        </w:rPr>
        <w:t xml:space="preserve"> Банка России, но не позднее 10 (Десяти) рабочих дней с даты его получения.</w:t>
      </w:r>
    </w:p>
    <w:p w14:paraId="127C0773" w14:textId="77777777" w:rsidR="00C34374" w:rsidRDefault="008106CD" w:rsidP="00B1010B">
      <w:pPr>
        <w:pStyle w:val="a3"/>
        <w:numPr>
          <w:ilvl w:val="1"/>
          <w:numId w:val="14"/>
        </w:numPr>
        <w:tabs>
          <w:tab w:val="left" w:pos="1134"/>
        </w:tabs>
        <w:spacing w:before="120" w:after="120" w:line="360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Совершение Инсайдерами Операций с финансовыми инструментами, иностранной валютой и (или) товарами с нарушением Условий является основанием для </w:t>
      </w:r>
      <w:r>
        <w:rPr>
          <w:rFonts w:ascii="Arial" w:hAnsi="Arial" w:cs="Arial"/>
          <w:sz w:val="22"/>
          <w:szCs w:val="22"/>
        </w:rPr>
        <w:lastRenderedPageBreak/>
        <w:t xml:space="preserve">привлечения </w:t>
      </w:r>
      <w:r w:rsidR="00C34374">
        <w:rPr>
          <w:rFonts w:ascii="Arial" w:hAnsi="Arial" w:cs="Arial"/>
          <w:sz w:val="22"/>
          <w:szCs w:val="22"/>
        </w:rPr>
        <w:t>указанных лиц к гражданско-правовой и (или) административной и (или) уголовной и (или) иным видам ответственности, предусмотренной законодательством Российской Федерации.</w:t>
      </w:r>
    </w:p>
    <w:p w14:paraId="6D1EEC8E" w14:textId="77777777" w:rsidR="00490A43" w:rsidRPr="00490A43" w:rsidRDefault="00490A43" w:rsidP="00ED5C59">
      <w:pPr>
        <w:pStyle w:val="Default"/>
        <w:numPr>
          <w:ilvl w:val="1"/>
          <w:numId w:val="14"/>
        </w:numPr>
        <w:tabs>
          <w:tab w:val="left" w:pos="1134"/>
        </w:tabs>
        <w:spacing w:line="360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 w:rsidRPr="00ED5C59">
        <w:rPr>
          <w:rFonts w:ascii="Arial" w:hAnsi="Arial" w:cs="Arial"/>
          <w:sz w:val="22"/>
          <w:szCs w:val="22"/>
        </w:rPr>
        <w:t>Совершение Инсайдерами и Связанными с ними лицами Собственных операций с финансовыми инструментами, с нарушением настоящих Условий является основанием для привлечения указанных лиц к гражданско-правовой и (или) иным видам ответственности в соответствии с частью 4 статьи 11 Федерального закона № 224-ФЗ.</w:t>
      </w:r>
    </w:p>
    <w:p w14:paraId="77D9E4B9" w14:textId="77777777" w:rsidR="00490A43" w:rsidRPr="00490A43" w:rsidRDefault="00490A43" w:rsidP="00ED5C59">
      <w:pPr>
        <w:pStyle w:val="Default"/>
        <w:numPr>
          <w:ilvl w:val="1"/>
          <w:numId w:val="14"/>
        </w:numPr>
        <w:tabs>
          <w:tab w:val="left" w:pos="1134"/>
        </w:tabs>
        <w:spacing w:line="360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 w:rsidRPr="00ED5C59">
        <w:rPr>
          <w:rFonts w:ascii="Arial" w:hAnsi="Arial" w:cs="Arial"/>
          <w:sz w:val="22"/>
          <w:szCs w:val="22"/>
        </w:rPr>
        <w:t>За разглашение, неправомерное предоставление, распространение и (или) использование Инсайдерской информации Инсайдеры несут ответственность в соответствии с законодательством Российской Федерации, внутренними документами Банка и условиями соглашений, заключенных с Банком.</w:t>
      </w:r>
    </w:p>
    <w:p w14:paraId="3B50FBF4" w14:textId="77777777" w:rsidR="00490A43" w:rsidRPr="00490A43" w:rsidRDefault="00490A43" w:rsidP="00ED5C59">
      <w:pPr>
        <w:pStyle w:val="Default"/>
        <w:numPr>
          <w:ilvl w:val="1"/>
          <w:numId w:val="14"/>
        </w:numPr>
        <w:tabs>
          <w:tab w:val="left" w:pos="1134"/>
        </w:tabs>
        <w:spacing w:line="360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 w:rsidRPr="00ED5C59">
        <w:rPr>
          <w:rFonts w:ascii="Arial" w:hAnsi="Arial" w:cs="Arial"/>
          <w:sz w:val="22"/>
          <w:szCs w:val="22"/>
        </w:rPr>
        <w:t>К ответственности могут также быть привлечены и иные лица, не являющиеся Инсайдерами, но распространяющие Инсайдерскую информацию Банка.</w:t>
      </w:r>
    </w:p>
    <w:p w14:paraId="7038B46C" w14:textId="533F37EA" w:rsidR="00490A43" w:rsidRPr="00ED5C59" w:rsidRDefault="00490A43" w:rsidP="00ED5C59">
      <w:pPr>
        <w:pStyle w:val="Default"/>
        <w:numPr>
          <w:ilvl w:val="1"/>
          <w:numId w:val="14"/>
        </w:numPr>
        <w:tabs>
          <w:tab w:val="left" w:pos="1134"/>
        </w:tabs>
        <w:spacing w:line="360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 w:rsidRPr="00ED5C59">
        <w:rPr>
          <w:rFonts w:ascii="Arial" w:hAnsi="Arial" w:cs="Arial"/>
          <w:sz w:val="22"/>
          <w:szCs w:val="22"/>
        </w:rPr>
        <w:t>В соответствии с п.7 ст.7 Федерального закона №224-ФЗ Банк вправе требовать возмещение убытков, понесенных в результате неправомерного использования Инсайдерской информации и (или) Манипулирования рынком от лиц, в результате действий которых были причинены такие убытки. Возможные меры ответственности установлены:</w:t>
      </w:r>
    </w:p>
    <w:p w14:paraId="0F2680EC" w14:textId="001FC657" w:rsidR="00490A43" w:rsidRPr="00ED5C59" w:rsidRDefault="00490A43" w:rsidP="00ED5C59">
      <w:pPr>
        <w:pStyle w:val="a3"/>
        <w:numPr>
          <w:ilvl w:val="2"/>
          <w:numId w:val="14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D5C59">
        <w:rPr>
          <w:rFonts w:ascii="Arial" w:eastAsiaTheme="minorHAnsi" w:hAnsi="Arial" w:cs="Arial"/>
          <w:sz w:val="22"/>
          <w:szCs w:val="22"/>
          <w:lang w:eastAsia="en-US"/>
        </w:rPr>
        <w:t>Кодексом Российской Федерации об административных правонарушениях от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ED5C59">
        <w:rPr>
          <w:rFonts w:ascii="Arial" w:eastAsiaTheme="minorHAnsi" w:hAnsi="Arial" w:cs="Arial"/>
          <w:sz w:val="22"/>
          <w:szCs w:val="22"/>
          <w:lang w:eastAsia="en-US"/>
        </w:rPr>
        <w:t xml:space="preserve">30.12.2001 № 195-ФЗ (далее – </w:t>
      </w:r>
      <w:r w:rsidRPr="00ED5C59">
        <w:rPr>
          <w:rFonts w:ascii="Arial" w:eastAsiaTheme="minorHAnsi" w:hAnsi="Arial" w:cs="Arial"/>
          <w:b/>
          <w:sz w:val="22"/>
          <w:szCs w:val="22"/>
          <w:lang w:eastAsia="en-US"/>
        </w:rPr>
        <w:t>КоАП</w:t>
      </w:r>
      <w:r w:rsidRPr="00ED5C59">
        <w:rPr>
          <w:rFonts w:ascii="Arial" w:eastAsiaTheme="minorHAnsi" w:hAnsi="Arial" w:cs="Arial"/>
          <w:sz w:val="22"/>
          <w:szCs w:val="22"/>
          <w:lang w:eastAsia="en-US"/>
        </w:rPr>
        <w:t>):</w:t>
      </w:r>
    </w:p>
    <w:p w14:paraId="532C873E" w14:textId="11D391B3" w:rsidR="00490A43" w:rsidRPr="00ED5C59" w:rsidRDefault="00490A43" w:rsidP="00ED5C59">
      <w:pPr>
        <w:pStyle w:val="a3"/>
        <w:numPr>
          <w:ilvl w:val="0"/>
          <w:numId w:val="44"/>
        </w:num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D5C59">
        <w:rPr>
          <w:rFonts w:ascii="Arial" w:eastAsiaTheme="minorHAnsi" w:hAnsi="Arial" w:cs="Arial"/>
          <w:sz w:val="22"/>
          <w:szCs w:val="22"/>
          <w:lang w:eastAsia="en-US"/>
        </w:rPr>
        <w:t>статья 15.21 КоАП «Неправомерное использование инсайдерской информации»;</w:t>
      </w:r>
    </w:p>
    <w:p w14:paraId="6E4D477D" w14:textId="0B8BEE83" w:rsidR="00490A43" w:rsidRPr="00ED5C59" w:rsidRDefault="00490A43" w:rsidP="00ED5C59">
      <w:pPr>
        <w:pStyle w:val="a3"/>
        <w:numPr>
          <w:ilvl w:val="0"/>
          <w:numId w:val="44"/>
        </w:num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D5C59">
        <w:rPr>
          <w:rFonts w:ascii="Arial" w:eastAsiaTheme="minorHAnsi" w:hAnsi="Arial" w:cs="Arial"/>
          <w:sz w:val="22"/>
          <w:szCs w:val="22"/>
          <w:lang w:eastAsia="en-US"/>
        </w:rPr>
        <w:t>статья 15.30 КоАП «Манипулирование рынком»;</w:t>
      </w:r>
    </w:p>
    <w:p w14:paraId="25BC6AD1" w14:textId="42D3C598" w:rsidR="00490A43" w:rsidRPr="00ED5C59" w:rsidRDefault="00490A43" w:rsidP="00ED5C59">
      <w:pPr>
        <w:pStyle w:val="a3"/>
        <w:numPr>
          <w:ilvl w:val="0"/>
          <w:numId w:val="44"/>
        </w:num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D5C59">
        <w:rPr>
          <w:rFonts w:ascii="Arial" w:eastAsiaTheme="minorHAnsi" w:hAnsi="Arial" w:cs="Arial"/>
          <w:sz w:val="22"/>
          <w:szCs w:val="22"/>
          <w:lang w:eastAsia="en-US"/>
        </w:rPr>
        <w:t>статья 15.35 КоАП «Нарушение требований законодательства о противодействии</w:t>
      </w:r>
    </w:p>
    <w:p w14:paraId="485A96B0" w14:textId="77777777" w:rsidR="00490A43" w:rsidRPr="00ED5C59" w:rsidRDefault="00490A43" w:rsidP="00ED5C59">
      <w:pPr>
        <w:pStyle w:val="a3"/>
        <w:numPr>
          <w:ilvl w:val="0"/>
          <w:numId w:val="44"/>
        </w:num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D5C59">
        <w:rPr>
          <w:rFonts w:ascii="Arial" w:eastAsiaTheme="minorHAnsi" w:hAnsi="Arial" w:cs="Arial"/>
          <w:sz w:val="22"/>
          <w:szCs w:val="22"/>
          <w:lang w:eastAsia="en-US"/>
        </w:rPr>
        <w:t>неправомерному использованию инсайдерской информации и манипулированию рынком».</w:t>
      </w:r>
    </w:p>
    <w:p w14:paraId="63D54970" w14:textId="5F3949E9" w:rsidR="00490A43" w:rsidRPr="00ED5C59" w:rsidRDefault="00490A43" w:rsidP="00ED5C59">
      <w:pPr>
        <w:pStyle w:val="a3"/>
        <w:numPr>
          <w:ilvl w:val="2"/>
          <w:numId w:val="14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D5C59">
        <w:rPr>
          <w:rFonts w:ascii="Arial" w:eastAsiaTheme="minorHAnsi" w:hAnsi="Arial" w:cs="Arial"/>
          <w:sz w:val="22"/>
          <w:szCs w:val="22"/>
          <w:lang w:eastAsia="en-US"/>
        </w:rPr>
        <w:t xml:space="preserve">Уголовным кодексом Российской Федерации от 13.06.1996 № 63-ФЗ (далее </w:t>
      </w:r>
      <w:r w:rsidRPr="00ED5C59">
        <w:rPr>
          <w:rFonts w:ascii="Arial" w:eastAsiaTheme="minorHAnsi" w:hAnsi="Arial" w:cs="Arial"/>
          <w:b/>
          <w:sz w:val="22"/>
          <w:szCs w:val="22"/>
          <w:lang w:eastAsia="en-US"/>
        </w:rPr>
        <w:t>– УК РФ</w:t>
      </w:r>
      <w:r w:rsidRPr="00ED5C59">
        <w:rPr>
          <w:rFonts w:ascii="Arial" w:eastAsiaTheme="minorHAnsi" w:hAnsi="Arial" w:cs="Arial"/>
          <w:sz w:val="22"/>
          <w:szCs w:val="22"/>
          <w:lang w:eastAsia="en-US"/>
        </w:rPr>
        <w:t>):</w:t>
      </w:r>
    </w:p>
    <w:p w14:paraId="5CD1DCB6" w14:textId="77777777" w:rsidR="00490A43" w:rsidRDefault="00490A43" w:rsidP="00ED5C59">
      <w:pPr>
        <w:pStyle w:val="a3"/>
        <w:numPr>
          <w:ilvl w:val="0"/>
          <w:numId w:val="4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D5C59">
        <w:rPr>
          <w:rFonts w:ascii="Arial" w:eastAsiaTheme="minorHAnsi" w:hAnsi="Arial" w:cs="Arial"/>
          <w:sz w:val="22"/>
          <w:szCs w:val="22"/>
          <w:lang w:eastAsia="en-US"/>
        </w:rPr>
        <w:t>статья 185.3 УК РФ «Манипулирование рынком»;</w:t>
      </w:r>
    </w:p>
    <w:p w14:paraId="2F42EA10" w14:textId="4832B836" w:rsidR="00490A43" w:rsidRPr="00ED5C59" w:rsidRDefault="00490A43" w:rsidP="00ED5C59">
      <w:pPr>
        <w:pStyle w:val="a3"/>
        <w:numPr>
          <w:ilvl w:val="0"/>
          <w:numId w:val="4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D5C59">
        <w:rPr>
          <w:rFonts w:ascii="Arial" w:hAnsi="Arial" w:cs="Arial"/>
          <w:sz w:val="22"/>
          <w:szCs w:val="22"/>
        </w:rPr>
        <w:t>статья 185.6 УК РФ «Неправомерное использование инсайдерской информации».</w:t>
      </w:r>
    </w:p>
    <w:p w14:paraId="37D11530" w14:textId="77777777" w:rsidR="008106CD" w:rsidRPr="00B1010B" w:rsidRDefault="00C34374" w:rsidP="00B1010B">
      <w:pPr>
        <w:pStyle w:val="a3"/>
        <w:numPr>
          <w:ilvl w:val="1"/>
          <w:numId w:val="14"/>
        </w:numPr>
        <w:tabs>
          <w:tab w:val="left" w:pos="1134"/>
        </w:tabs>
        <w:spacing w:before="120" w:after="120" w:line="360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Подразделением, ответственным за </w:t>
      </w:r>
      <w:r w:rsidR="00362E99">
        <w:rPr>
          <w:rFonts w:ascii="Arial" w:hAnsi="Arial" w:cs="Arial"/>
          <w:sz w:val="22"/>
          <w:szCs w:val="22"/>
        </w:rPr>
        <w:t xml:space="preserve">контроль соблюдения Условий, в том числе, </w:t>
      </w:r>
      <w:r>
        <w:rPr>
          <w:rFonts w:ascii="Arial" w:hAnsi="Arial" w:cs="Arial"/>
          <w:sz w:val="22"/>
          <w:szCs w:val="22"/>
        </w:rPr>
        <w:t xml:space="preserve">направление Инсайдерам запроса в соответствии с п.3.4 Условий, является Служба внутреннего контроля.  </w:t>
      </w:r>
      <w:r w:rsidR="008106CD">
        <w:rPr>
          <w:rFonts w:ascii="Arial" w:hAnsi="Arial" w:cs="Arial"/>
          <w:sz w:val="22"/>
          <w:szCs w:val="22"/>
        </w:rPr>
        <w:t xml:space="preserve">    </w:t>
      </w:r>
    </w:p>
    <w:p w14:paraId="6B26939F" w14:textId="77777777" w:rsidR="00CF292C" w:rsidRPr="007455A7" w:rsidRDefault="007C41B2" w:rsidP="00C34374">
      <w:pPr>
        <w:pStyle w:val="a3"/>
        <w:numPr>
          <w:ilvl w:val="0"/>
          <w:numId w:val="14"/>
        </w:numPr>
        <w:tabs>
          <w:tab w:val="left" w:pos="567"/>
        </w:tabs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outlineLvl w:val="0"/>
        <w:rPr>
          <w:rFonts w:ascii="Arial" w:hAnsi="Arial" w:cs="Arial"/>
          <w:b/>
          <w:sz w:val="22"/>
          <w:szCs w:val="22"/>
        </w:rPr>
      </w:pPr>
      <w:bookmarkStart w:id="3" w:name="_Toc204942629"/>
      <w:r>
        <w:rPr>
          <w:rFonts w:ascii="Arial" w:hAnsi="Arial" w:cs="Arial"/>
          <w:b/>
          <w:sz w:val="22"/>
          <w:szCs w:val="22"/>
        </w:rPr>
        <w:t>Требования к инсайдерам</w:t>
      </w:r>
      <w:bookmarkEnd w:id="3"/>
    </w:p>
    <w:p w14:paraId="41FA3C03" w14:textId="77777777" w:rsidR="0083340A" w:rsidRDefault="00C34374" w:rsidP="00433665">
      <w:pPr>
        <w:pStyle w:val="a3"/>
        <w:numPr>
          <w:ilvl w:val="1"/>
          <w:numId w:val="14"/>
        </w:numPr>
        <w:tabs>
          <w:tab w:val="left" w:pos="0"/>
          <w:tab w:val="left" w:pos="1134"/>
        </w:tabs>
        <w:spacing w:before="120" w:after="120" w:line="360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Инсайдеры обязаны соблюдать требования Условий, в т.ч.</w:t>
      </w:r>
    </w:p>
    <w:p w14:paraId="37DD25AB" w14:textId="77777777" w:rsidR="00362E99" w:rsidRDefault="00362E99" w:rsidP="00362E99">
      <w:pPr>
        <w:pStyle w:val="a3"/>
        <w:numPr>
          <w:ilvl w:val="0"/>
          <w:numId w:val="43"/>
        </w:numPr>
        <w:tabs>
          <w:tab w:val="left" w:pos="0"/>
          <w:tab w:val="left" w:pos="1134"/>
        </w:tabs>
        <w:spacing w:before="120" w:after="120" w:line="360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не использовать в личных целях информацию, полученную в ходе переговоров с клиентами, которая может указывать на финансовое состояние соответствующих клиентов;</w:t>
      </w:r>
    </w:p>
    <w:p w14:paraId="39FADE26" w14:textId="77777777" w:rsidR="00362E99" w:rsidRPr="00362E99" w:rsidRDefault="00362E99" w:rsidP="00362E99">
      <w:pPr>
        <w:pStyle w:val="a3"/>
        <w:numPr>
          <w:ilvl w:val="0"/>
          <w:numId w:val="43"/>
        </w:numPr>
        <w:tabs>
          <w:tab w:val="left" w:pos="0"/>
          <w:tab w:val="left" w:pos="1134"/>
        </w:tabs>
        <w:spacing w:before="120" w:after="120" w:line="360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 использовать в личных целях информацию о планируемых к совершению операциях с финансовыми инструментами в интересах Банка и его клиентов.</w:t>
      </w:r>
    </w:p>
    <w:p w14:paraId="68292727" w14:textId="77777777" w:rsidR="00C34374" w:rsidRPr="007455A7" w:rsidRDefault="00C34374" w:rsidP="00433665">
      <w:pPr>
        <w:pStyle w:val="a3"/>
        <w:numPr>
          <w:ilvl w:val="1"/>
          <w:numId w:val="14"/>
        </w:numPr>
        <w:tabs>
          <w:tab w:val="left" w:pos="0"/>
          <w:tab w:val="left" w:pos="1134"/>
        </w:tabs>
        <w:spacing w:before="120" w:after="120" w:line="360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целях недопущения совершения Связанными лицами действий, н</w:t>
      </w:r>
      <w:r w:rsidR="00362E99">
        <w:rPr>
          <w:rFonts w:ascii="Arial" w:hAnsi="Arial" w:cs="Arial"/>
          <w:sz w:val="22"/>
          <w:szCs w:val="22"/>
        </w:rPr>
        <w:t>арушающих установленные Законом №224-ФЗ ограничения на использование Инсайдерской информации или являющихся манипулированием рынком, Инсайдеры прилагают разумно необходимые и доступные в сложившихся обстоятельствах усилия по доведению до сведения Связанных лиц информации о требованиях Условий.</w:t>
      </w:r>
    </w:p>
    <w:p w14:paraId="0DCFEAB9" w14:textId="77777777" w:rsidR="00D25883" w:rsidRDefault="00D06769" w:rsidP="00935C15">
      <w:pPr>
        <w:pStyle w:val="a3"/>
        <w:numPr>
          <w:ilvl w:val="0"/>
          <w:numId w:val="14"/>
        </w:numPr>
        <w:tabs>
          <w:tab w:val="left" w:pos="567"/>
        </w:tabs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outlineLvl w:val="0"/>
        <w:rPr>
          <w:rFonts w:ascii="Arial" w:hAnsi="Arial" w:cs="Arial"/>
          <w:b/>
          <w:sz w:val="22"/>
          <w:szCs w:val="22"/>
        </w:rPr>
      </w:pPr>
      <w:bookmarkStart w:id="4" w:name="_Toc204942632"/>
      <w:r>
        <w:rPr>
          <w:rFonts w:ascii="Arial" w:hAnsi="Arial" w:cs="Arial"/>
          <w:b/>
          <w:sz w:val="22"/>
          <w:szCs w:val="22"/>
        </w:rPr>
        <w:t>Заключительные положения</w:t>
      </w:r>
      <w:bookmarkEnd w:id="4"/>
    </w:p>
    <w:p w14:paraId="77FBAD54" w14:textId="58E04A30" w:rsidR="00490A43" w:rsidRPr="00E8073D" w:rsidRDefault="00EF7872" w:rsidP="00ED5C59">
      <w:pPr>
        <w:pStyle w:val="a3"/>
        <w:numPr>
          <w:ilvl w:val="1"/>
          <w:numId w:val="14"/>
        </w:numPr>
        <w:tabs>
          <w:tab w:val="left" w:pos="1134"/>
        </w:tabs>
        <w:spacing w:before="120" w:after="120" w:line="360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Ознакомление Инсайдеров Банка с требованиями настоящих Условий обеспечивается при уведомлении о включении в Список инсайдеров в установленном </w:t>
      </w:r>
      <w:r w:rsidRPr="00490A43">
        <w:rPr>
          <w:rFonts w:ascii="Arial" w:hAnsi="Arial" w:cs="Arial"/>
          <w:sz w:val="22"/>
          <w:szCs w:val="22"/>
        </w:rPr>
        <w:t>Банке порядке</w:t>
      </w:r>
      <w:r w:rsidR="00490A43" w:rsidRPr="00490A43">
        <w:rPr>
          <w:rFonts w:ascii="Arial" w:hAnsi="Arial" w:cs="Arial"/>
          <w:sz w:val="22"/>
          <w:szCs w:val="22"/>
        </w:rPr>
        <w:t xml:space="preserve">, </w:t>
      </w:r>
      <w:r w:rsidR="00490A43" w:rsidRPr="00ED5C59">
        <w:rPr>
          <w:rFonts w:ascii="Arial" w:eastAsiaTheme="minorHAnsi" w:hAnsi="Arial" w:cs="Arial"/>
          <w:sz w:val="22"/>
          <w:szCs w:val="22"/>
          <w:lang w:eastAsia="en-US"/>
        </w:rPr>
        <w:t xml:space="preserve">также путем размещения текста документа на официальном сайте Банка в </w:t>
      </w:r>
      <w:r w:rsidR="00490A43" w:rsidRPr="00ED5C59">
        <w:rPr>
          <w:rFonts w:ascii="Arial" w:hAnsi="Arial" w:cs="Arial"/>
          <w:sz w:val="22"/>
          <w:szCs w:val="22"/>
        </w:rPr>
        <w:t>информационно-телекоммуникационной сети «Интернет».</w:t>
      </w:r>
      <w:r w:rsidR="00117DAA">
        <w:rPr>
          <w:rFonts w:ascii="Arial" w:hAnsi="Arial" w:cs="Arial"/>
          <w:sz w:val="22"/>
          <w:szCs w:val="22"/>
        </w:rPr>
        <w:t xml:space="preserve"> Факт ознакомления с Условиями подтверждается по</w:t>
      </w:r>
      <w:r w:rsidR="00B64E56">
        <w:rPr>
          <w:rFonts w:ascii="Arial" w:hAnsi="Arial" w:cs="Arial"/>
          <w:sz w:val="22"/>
          <w:szCs w:val="22"/>
        </w:rPr>
        <w:t>дписью лица, получившего Уведомление о включении в Список инсайдеров Банка.</w:t>
      </w:r>
    </w:p>
    <w:p w14:paraId="67073F6F" w14:textId="59F96C76" w:rsidR="00D12FA2" w:rsidRPr="00ED5C59" w:rsidRDefault="00E8073D" w:rsidP="00ED5C59">
      <w:pPr>
        <w:pStyle w:val="a3"/>
        <w:numPr>
          <w:ilvl w:val="1"/>
          <w:numId w:val="14"/>
        </w:numPr>
        <w:tabs>
          <w:tab w:val="left" w:pos="1134"/>
        </w:tabs>
        <w:spacing w:before="120" w:after="120" w:line="360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</w:t>
      </w:r>
      <w:r w:rsidR="00D12FA2" w:rsidRPr="00ED5C59">
        <w:rPr>
          <w:rFonts w:ascii="Arial" w:hAnsi="Arial" w:cs="Arial"/>
          <w:sz w:val="22"/>
          <w:szCs w:val="22"/>
        </w:rPr>
        <w:t>нсайдеры обязаны довести Условия до сведения Связанных с ними лиц любым доступным способом.</w:t>
      </w:r>
    </w:p>
    <w:p w14:paraId="172D7FDC" w14:textId="668652CE" w:rsidR="00EF7872" w:rsidRPr="00325A9E" w:rsidRDefault="00EF7872" w:rsidP="00ED5C59">
      <w:pPr>
        <w:pStyle w:val="a3"/>
        <w:tabs>
          <w:tab w:val="left" w:pos="1134"/>
        </w:tabs>
        <w:spacing w:before="120" w:after="120" w:line="360" w:lineRule="auto"/>
        <w:ind w:left="0" w:firstLine="567"/>
        <w:jc w:val="both"/>
        <w:rPr>
          <w:rFonts w:ascii="Arial" w:hAnsi="Arial" w:cs="Arial"/>
          <w:b/>
          <w:sz w:val="22"/>
          <w:szCs w:val="22"/>
        </w:rPr>
      </w:pPr>
    </w:p>
    <w:sectPr w:rsidR="00EF7872" w:rsidRPr="00325A9E" w:rsidSect="00D06769">
      <w:headerReference w:type="default" r:id="rId8"/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FEE3FD" w14:textId="77777777" w:rsidR="0057494B" w:rsidRDefault="0057494B" w:rsidP="0029642B">
      <w:r>
        <w:separator/>
      </w:r>
    </w:p>
  </w:endnote>
  <w:endnote w:type="continuationSeparator" w:id="0">
    <w:p w14:paraId="24B398F2" w14:textId="77777777" w:rsidR="0057494B" w:rsidRDefault="0057494B" w:rsidP="00296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7596424"/>
      <w:docPartObj>
        <w:docPartGallery w:val="Page Numbers (Bottom of Page)"/>
        <w:docPartUnique/>
      </w:docPartObj>
    </w:sdtPr>
    <w:sdtEndPr/>
    <w:sdtContent>
      <w:p w14:paraId="20A14A39" w14:textId="686EFC36" w:rsidR="006D691F" w:rsidRDefault="006D691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4AEF">
          <w:rPr>
            <w:noProof/>
          </w:rPr>
          <w:t>1</w:t>
        </w:r>
        <w:r>
          <w:fldChar w:fldCharType="end"/>
        </w:r>
      </w:p>
    </w:sdtContent>
  </w:sdt>
  <w:p w14:paraId="66A92713" w14:textId="77777777" w:rsidR="006D691F" w:rsidRDefault="006D691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DF844D" w14:textId="77777777" w:rsidR="0057494B" w:rsidRDefault="0057494B" w:rsidP="0029642B">
      <w:r>
        <w:separator/>
      </w:r>
    </w:p>
  </w:footnote>
  <w:footnote w:type="continuationSeparator" w:id="0">
    <w:p w14:paraId="24514A6A" w14:textId="77777777" w:rsidR="0057494B" w:rsidRDefault="0057494B" w:rsidP="0029642B">
      <w:r>
        <w:continuationSeparator/>
      </w:r>
    </w:p>
  </w:footnote>
  <w:footnote w:id="1">
    <w:p w14:paraId="72B5C834" w14:textId="77777777" w:rsidR="00F83F17" w:rsidRPr="002D2918" w:rsidRDefault="00F83F17" w:rsidP="00935C15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2D2918">
        <w:rPr>
          <w:rStyle w:val="af2"/>
          <w:rFonts w:ascii="Arial" w:hAnsi="Arial" w:cs="Arial"/>
          <w:sz w:val="18"/>
          <w:szCs w:val="18"/>
        </w:rPr>
        <w:footnoteRef/>
      </w:r>
      <w:r w:rsidRPr="002D2918">
        <w:rPr>
          <w:rFonts w:ascii="Arial" w:hAnsi="Arial" w:cs="Arial"/>
          <w:sz w:val="18"/>
          <w:szCs w:val="18"/>
        </w:rPr>
        <w:t xml:space="preserve"> Конфликт интересов – п</w:t>
      </w:r>
      <w:r w:rsidRPr="002D2918">
        <w:rPr>
          <w:rFonts w:ascii="Arial" w:eastAsiaTheme="minorHAnsi" w:hAnsi="Arial" w:cs="Arial"/>
          <w:sz w:val="18"/>
          <w:szCs w:val="18"/>
          <w:lang w:eastAsia="en-US"/>
        </w:rPr>
        <w:t xml:space="preserve">ротиворечие между </w:t>
      </w:r>
      <w:r w:rsidR="00935C15" w:rsidRPr="002D2918">
        <w:rPr>
          <w:rFonts w:ascii="Arial" w:eastAsiaTheme="minorHAnsi" w:hAnsi="Arial" w:cs="Arial"/>
          <w:sz w:val="18"/>
          <w:szCs w:val="18"/>
          <w:lang w:eastAsia="en-US"/>
        </w:rPr>
        <w:t xml:space="preserve">охраняемым законом корпоративным интересом организации и (или) личными интересами ее работников, членов совета директоров и (или) </w:t>
      </w:r>
      <w:r w:rsidRPr="002D2918">
        <w:rPr>
          <w:rFonts w:ascii="Arial" w:eastAsiaTheme="minorHAnsi" w:hAnsi="Arial" w:cs="Arial"/>
          <w:sz w:val="18"/>
          <w:szCs w:val="18"/>
          <w:lang w:eastAsia="en-US"/>
        </w:rPr>
        <w:t xml:space="preserve">клиентов, </w:t>
      </w:r>
      <w:r w:rsidR="00935C15" w:rsidRPr="002D2918">
        <w:rPr>
          <w:rFonts w:ascii="Arial" w:eastAsiaTheme="minorHAnsi" w:hAnsi="Arial" w:cs="Arial"/>
          <w:sz w:val="18"/>
          <w:szCs w:val="18"/>
          <w:lang w:eastAsia="en-US"/>
        </w:rPr>
        <w:t xml:space="preserve">возникающее у физического лица, </w:t>
      </w:r>
      <w:r w:rsidRPr="002D2918">
        <w:rPr>
          <w:rFonts w:ascii="Arial" w:eastAsiaTheme="minorHAnsi" w:hAnsi="Arial" w:cs="Arial"/>
          <w:sz w:val="18"/>
          <w:szCs w:val="18"/>
          <w:lang w:eastAsia="en-US"/>
        </w:rPr>
        <w:t xml:space="preserve">которое может повлечь за собой неблагоприятные последствия для организации и (или) ее клиентов) </w:t>
      </w:r>
      <w:r w:rsidR="00935C15" w:rsidRPr="002D2918">
        <w:rPr>
          <w:rFonts w:ascii="Arial" w:eastAsiaTheme="minorHAnsi" w:hAnsi="Arial" w:cs="Arial"/>
          <w:sz w:val="18"/>
          <w:szCs w:val="18"/>
          <w:lang w:eastAsia="en-US"/>
        </w:rPr>
        <w:t>при котором одновременная реализация обоих интересов в полной мере (без ущерба одному из них) невозможна.</w:t>
      </w:r>
    </w:p>
  </w:footnote>
  <w:footnote w:id="2">
    <w:p w14:paraId="42CE677B" w14:textId="77777777" w:rsidR="00B44F6F" w:rsidRPr="002D2918" w:rsidRDefault="00B44F6F" w:rsidP="00B44F6F">
      <w:pPr>
        <w:pStyle w:val="af0"/>
        <w:jc w:val="both"/>
        <w:rPr>
          <w:rFonts w:ascii="Arial" w:hAnsi="Arial" w:cs="Arial"/>
          <w:sz w:val="18"/>
          <w:szCs w:val="18"/>
        </w:rPr>
      </w:pPr>
      <w:r w:rsidRPr="002D2918">
        <w:rPr>
          <w:rStyle w:val="af2"/>
          <w:rFonts w:ascii="Arial" w:hAnsi="Arial" w:cs="Arial"/>
          <w:sz w:val="18"/>
          <w:szCs w:val="18"/>
        </w:rPr>
        <w:footnoteRef/>
      </w:r>
      <w:r w:rsidRPr="002D2918">
        <w:rPr>
          <w:rFonts w:ascii="Arial" w:hAnsi="Arial" w:cs="Arial"/>
          <w:sz w:val="18"/>
          <w:szCs w:val="18"/>
        </w:rPr>
        <w:t xml:space="preserve"> Члены семьи и близкие родственники определяются в соответствии с Семейным кодексом Российской Федерации.</w:t>
      </w:r>
    </w:p>
  </w:footnote>
  <w:footnote w:id="3">
    <w:p w14:paraId="30D7C5EC" w14:textId="0C53D68C" w:rsidR="001F3655" w:rsidRPr="002D2918" w:rsidRDefault="001F3655" w:rsidP="00ED5C59">
      <w:pPr>
        <w:pStyle w:val="af0"/>
        <w:jc w:val="both"/>
        <w:rPr>
          <w:rFonts w:ascii="Arial" w:hAnsi="Arial" w:cs="Arial"/>
          <w:sz w:val="18"/>
          <w:szCs w:val="18"/>
        </w:rPr>
      </w:pPr>
      <w:r w:rsidRPr="002D2918">
        <w:rPr>
          <w:rStyle w:val="af2"/>
          <w:rFonts w:ascii="Arial" w:hAnsi="Arial" w:cs="Arial"/>
          <w:sz w:val="18"/>
          <w:szCs w:val="18"/>
        </w:rPr>
        <w:footnoteRef/>
      </w:r>
      <w:r w:rsidRPr="002D2918">
        <w:rPr>
          <w:rFonts w:ascii="Arial" w:hAnsi="Arial" w:cs="Arial"/>
          <w:sz w:val="18"/>
          <w:szCs w:val="18"/>
        </w:rPr>
        <w:t xml:space="preserve"> </w:t>
      </w:r>
      <w:r w:rsidR="002D2918">
        <w:rPr>
          <w:rFonts w:ascii="Arial" w:hAnsi="Arial" w:cs="Arial"/>
          <w:sz w:val="18"/>
          <w:szCs w:val="18"/>
        </w:rPr>
        <w:t>П</w:t>
      </w:r>
      <w:r w:rsidRPr="002D2918">
        <w:rPr>
          <w:rFonts w:ascii="Arial" w:hAnsi="Arial" w:cs="Arial"/>
          <w:sz w:val="18"/>
          <w:szCs w:val="18"/>
        </w:rPr>
        <w:t>. 1 Указания Банка России от 22.04.2019 №5128-У «О порядке и сроках предоставления информации инсайдерами, получившими предусмотренный частями 1 - 3 статьи 10 Федерального закона от 27 июля 2010 года №224-ФЗ «О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Федерации» запрос»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3E533" w14:textId="77777777" w:rsidR="006D691F" w:rsidRDefault="006D691F">
    <w:pPr>
      <w:pStyle w:val="aa"/>
    </w:pPr>
    <w:r w:rsidRPr="004D2B1F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62C9672C" wp14:editId="6387FB05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018540" cy="396240"/>
          <wp:effectExtent l="0" t="0" r="0" b="3810"/>
          <wp:wrapNone/>
          <wp:docPr id="3" name="Рисунок 3" descr="log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log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8EC84E2" w14:textId="77777777" w:rsidR="006D691F" w:rsidRDefault="006D691F">
    <w:pPr>
      <w:pStyle w:val="aa"/>
    </w:pPr>
  </w:p>
  <w:p w14:paraId="34B2A426" w14:textId="77777777" w:rsidR="006D691F" w:rsidRDefault="006D691F">
    <w:pPr>
      <w:pStyle w:val="aa"/>
    </w:pPr>
  </w:p>
  <w:p w14:paraId="44501BAC" w14:textId="77777777" w:rsidR="006D691F" w:rsidRDefault="006D691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66BFC"/>
    <w:multiLevelType w:val="hybridMultilevel"/>
    <w:tmpl w:val="5FD0358C"/>
    <w:lvl w:ilvl="0" w:tplc="ACBAF644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3BB5B00"/>
    <w:multiLevelType w:val="hybridMultilevel"/>
    <w:tmpl w:val="C3AAC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402DC"/>
    <w:multiLevelType w:val="hybridMultilevel"/>
    <w:tmpl w:val="2E04D20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0F145C"/>
    <w:multiLevelType w:val="hybridMultilevel"/>
    <w:tmpl w:val="7534E5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83E716B"/>
    <w:multiLevelType w:val="hybridMultilevel"/>
    <w:tmpl w:val="BF68AD76"/>
    <w:lvl w:ilvl="0" w:tplc="B48ACA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53321"/>
    <w:multiLevelType w:val="hybridMultilevel"/>
    <w:tmpl w:val="2208CEC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32233C7"/>
    <w:multiLevelType w:val="hybridMultilevel"/>
    <w:tmpl w:val="302EC940"/>
    <w:lvl w:ilvl="0" w:tplc="B48ACA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36051"/>
    <w:multiLevelType w:val="multilevel"/>
    <w:tmpl w:val="AF48C9F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7BF3CD2"/>
    <w:multiLevelType w:val="multilevel"/>
    <w:tmpl w:val="8430AF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D562D61"/>
    <w:multiLevelType w:val="hybridMultilevel"/>
    <w:tmpl w:val="18A02D76"/>
    <w:lvl w:ilvl="0" w:tplc="B48ACA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8D6AF1"/>
    <w:multiLevelType w:val="hybridMultilevel"/>
    <w:tmpl w:val="D99018CE"/>
    <w:lvl w:ilvl="0" w:tplc="61B86B14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B97629"/>
    <w:multiLevelType w:val="multilevel"/>
    <w:tmpl w:val="0EDEB8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6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9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7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7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78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81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4" w:hanging="2880"/>
      </w:pPr>
      <w:rPr>
        <w:rFonts w:hint="default"/>
      </w:rPr>
    </w:lvl>
  </w:abstractNum>
  <w:abstractNum w:abstractNumId="12" w15:restartNumberingAfterBreak="0">
    <w:nsid w:val="1FF77CBC"/>
    <w:multiLevelType w:val="hybridMultilevel"/>
    <w:tmpl w:val="F39A220C"/>
    <w:lvl w:ilvl="0" w:tplc="B48ACA4E">
      <w:start w:val="1"/>
      <w:numFmt w:val="bullet"/>
      <w:lvlText w:val="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3" w15:restartNumberingAfterBreak="0">
    <w:nsid w:val="20E93B01"/>
    <w:multiLevelType w:val="hybridMultilevel"/>
    <w:tmpl w:val="C1603384"/>
    <w:lvl w:ilvl="0" w:tplc="B48ACA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FB68F4"/>
    <w:multiLevelType w:val="hybridMultilevel"/>
    <w:tmpl w:val="341216DE"/>
    <w:lvl w:ilvl="0" w:tplc="D22EBFD8">
      <w:start w:val="1"/>
      <w:numFmt w:val="decimal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113ADB"/>
    <w:multiLevelType w:val="hybridMultilevel"/>
    <w:tmpl w:val="5FA46FCE"/>
    <w:lvl w:ilvl="0" w:tplc="D22EBFD8">
      <w:start w:val="1"/>
      <w:numFmt w:val="decimal"/>
      <w:lvlText w:val="%1)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1B210C"/>
    <w:multiLevelType w:val="hybridMultilevel"/>
    <w:tmpl w:val="FB161CEE"/>
    <w:lvl w:ilvl="0" w:tplc="B48ACA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F44D12"/>
    <w:multiLevelType w:val="hybridMultilevel"/>
    <w:tmpl w:val="04629B3C"/>
    <w:lvl w:ilvl="0" w:tplc="B48ACA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48ACA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6F1E23"/>
    <w:multiLevelType w:val="hybridMultilevel"/>
    <w:tmpl w:val="955A4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5A6A1F"/>
    <w:multiLevelType w:val="hybridMultilevel"/>
    <w:tmpl w:val="05BA0A0E"/>
    <w:lvl w:ilvl="0" w:tplc="B48ACA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433E37"/>
    <w:multiLevelType w:val="hybridMultilevel"/>
    <w:tmpl w:val="FE14E0A6"/>
    <w:lvl w:ilvl="0" w:tplc="966420D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6273AA"/>
    <w:multiLevelType w:val="hybridMultilevel"/>
    <w:tmpl w:val="04928C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494B45"/>
    <w:multiLevelType w:val="hybridMultilevel"/>
    <w:tmpl w:val="02C24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B928A2"/>
    <w:multiLevelType w:val="hybridMultilevel"/>
    <w:tmpl w:val="7CFE9738"/>
    <w:lvl w:ilvl="0" w:tplc="966420D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4E7E6F"/>
    <w:multiLevelType w:val="hybridMultilevel"/>
    <w:tmpl w:val="72CC5EDE"/>
    <w:lvl w:ilvl="0" w:tplc="B48ACA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243C32"/>
    <w:multiLevelType w:val="hybridMultilevel"/>
    <w:tmpl w:val="1BD88CD4"/>
    <w:lvl w:ilvl="0" w:tplc="B48ACA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923B74"/>
    <w:multiLevelType w:val="hybridMultilevel"/>
    <w:tmpl w:val="FCA29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4026E0"/>
    <w:multiLevelType w:val="hybridMultilevel"/>
    <w:tmpl w:val="605E8CBC"/>
    <w:lvl w:ilvl="0" w:tplc="8306EC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C527A4"/>
    <w:multiLevelType w:val="hybridMultilevel"/>
    <w:tmpl w:val="F940B810"/>
    <w:lvl w:ilvl="0" w:tplc="B48ACA4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43A3039B"/>
    <w:multiLevelType w:val="multilevel"/>
    <w:tmpl w:val="13F2A1E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BF821B5"/>
    <w:multiLevelType w:val="hybridMultilevel"/>
    <w:tmpl w:val="319EC534"/>
    <w:lvl w:ilvl="0" w:tplc="0B8EC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F071C"/>
    <w:multiLevelType w:val="hybridMultilevel"/>
    <w:tmpl w:val="B8426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DE404E"/>
    <w:multiLevelType w:val="hybridMultilevel"/>
    <w:tmpl w:val="84A63D80"/>
    <w:lvl w:ilvl="0" w:tplc="B48ACA4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CF2056C"/>
    <w:multiLevelType w:val="hybridMultilevel"/>
    <w:tmpl w:val="BCEC3DBA"/>
    <w:lvl w:ilvl="0" w:tplc="5FACAE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E44720"/>
    <w:multiLevelType w:val="hybridMultilevel"/>
    <w:tmpl w:val="DA5EF75E"/>
    <w:lvl w:ilvl="0" w:tplc="B48ACA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B40991"/>
    <w:multiLevelType w:val="hybridMultilevel"/>
    <w:tmpl w:val="67F24E98"/>
    <w:lvl w:ilvl="0" w:tplc="B48ACA4E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6" w15:restartNumberingAfterBreak="0">
    <w:nsid w:val="66C31F52"/>
    <w:multiLevelType w:val="hybridMultilevel"/>
    <w:tmpl w:val="AAAE667A"/>
    <w:lvl w:ilvl="0" w:tplc="B48ACA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777D74"/>
    <w:multiLevelType w:val="hybridMultilevel"/>
    <w:tmpl w:val="2D100DE4"/>
    <w:lvl w:ilvl="0" w:tplc="03182AE4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6B46E8"/>
    <w:multiLevelType w:val="hybridMultilevel"/>
    <w:tmpl w:val="DCA4F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CD0215"/>
    <w:multiLevelType w:val="hybridMultilevel"/>
    <w:tmpl w:val="05D8903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77BD64DF"/>
    <w:multiLevelType w:val="hybridMultilevel"/>
    <w:tmpl w:val="B624F460"/>
    <w:lvl w:ilvl="0" w:tplc="B70A90A8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ECC237C"/>
    <w:multiLevelType w:val="hybridMultilevel"/>
    <w:tmpl w:val="FB742B80"/>
    <w:lvl w:ilvl="0" w:tplc="B48ACA4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EEB4172"/>
    <w:multiLevelType w:val="hybridMultilevel"/>
    <w:tmpl w:val="DCBCC97E"/>
    <w:lvl w:ilvl="0" w:tplc="B48ACA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3" w15:restartNumberingAfterBreak="0">
    <w:nsid w:val="7F2462F5"/>
    <w:multiLevelType w:val="hybridMultilevel"/>
    <w:tmpl w:val="33C69BD6"/>
    <w:lvl w:ilvl="0" w:tplc="B48ACA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23"/>
  </w:num>
  <w:num w:numId="4">
    <w:abstractNumId w:val="37"/>
  </w:num>
  <w:num w:numId="5">
    <w:abstractNumId w:val="18"/>
  </w:num>
  <w:num w:numId="6">
    <w:abstractNumId w:val="26"/>
  </w:num>
  <w:num w:numId="7">
    <w:abstractNumId w:val="1"/>
  </w:num>
  <w:num w:numId="8">
    <w:abstractNumId w:val="19"/>
  </w:num>
  <w:num w:numId="9">
    <w:abstractNumId w:val="33"/>
  </w:num>
  <w:num w:numId="10">
    <w:abstractNumId w:val="12"/>
  </w:num>
  <w:num w:numId="11">
    <w:abstractNumId w:val="5"/>
  </w:num>
  <w:num w:numId="12">
    <w:abstractNumId w:val="0"/>
  </w:num>
  <w:num w:numId="13">
    <w:abstractNumId w:val="39"/>
  </w:num>
  <w:num w:numId="14">
    <w:abstractNumId w:val="8"/>
  </w:num>
  <w:num w:numId="15">
    <w:abstractNumId w:val="21"/>
  </w:num>
  <w:num w:numId="16">
    <w:abstractNumId w:val="3"/>
  </w:num>
  <w:num w:numId="17">
    <w:abstractNumId w:val="27"/>
  </w:num>
  <w:num w:numId="18">
    <w:abstractNumId w:val="32"/>
  </w:num>
  <w:num w:numId="19">
    <w:abstractNumId w:val="31"/>
  </w:num>
  <w:num w:numId="20">
    <w:abstractNumId w:val="40"/>
  </w:num>
  <w:num w:numId="21">
    <w:abstractNumId w:val="35"/>
  </w:num>
  <w:num w:numId="22">
    <w:abstractNumId w:val="42"/>
  </w:num>
  <w:num w:numId="23">
    <w:abstractNumId w:val="20"/>
  </w:num>
  <w:num w:numId="24">
    <w:abstractNumId w:val="10"/>
  </w:num>
  <w:num w:numId="25">
    <w:abstractNumId w:val="30"/>
  </w:num>
  <w:num w:numId="26">
    <w:abstractNumId w:val="28"/>
  </w:num>
  <w:num w:numId="27">
    <w:abstractNumId w:val="9"/>
  </w:num>
  <w:num w:numId="28">
    <w:abstractNumId w:val="25"/>
  </w:num>
  <w:num w:numId="29">
    <w:abstractNumId w:val="6"/>
  </w:num>
  <w:num w:numId="30">
    <w:abstractNumId w:val="43"/>
  </w:num>
  <w:num w:numId="31">
    <w:abstractNumId w:val="22"/>
  </w:num>
  <w:num w:numId="32">
    <w:abstractNumId w:val="24"/>
  </w:num>
  <w:num w:numId="33">
    <w:abstractNumId w:val="38"/>
  </w:num>
  <w:num w:numId="34">
    <w:abstractNumId w:val="13"/>
  </w:num>
  <w:num w:numId="35">
    <w:abstractNumId w:val="4"/>
  </w:num>
  <w:num w:numId="36">
    <w:abstractNumId w:val="2"/>
  </w:num>
  <w:num w:numId="37">
    <w:abstractNumId w:val="15"/>
  </w:num>
  <w:num w:numId="38">
    <w:abstractNumId w:val="14"/>
  </w:num>
  <w:num w:numId="39">
    <w:abstractNumId w:val="29"/>
  </w:num>
  <w:num w:numId="40">
    <w:abstractNumId w:val="41"/>
  </w:num>
  <w:num w:numId="41">
    <w:abstractNumId w:val="34"/>
  </w:num>
  <w:num w:numId="42">
    <w:abstractNumId w:val="7"/>
  </w:num>
  <w:num w:numId="43">
    <w:abstractNumId w:val="36"/>
  </w:num>
  <w:num w:numId="44">
    <w:abstractNumId w:val="16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FDF"/>
    <w:rsid w:val="0000718D"/>
    <w:rsid w:val="000146BF"/>
    <w:rsid w:val="000251F1"/>
    <w:rsid w:val="000416F3"/>
    <w:rsid w:val="00054C81"/>
    <w:rsid w:val="00060ED1"/>
    <w:rsid w:val="0006744A"/>
    <w:rsid w:val="00074338"/>
    <w:rsid w:val="00080417"/>
    <w:rsid w:val="00083C90"/>
    <w:rsid w:val="0009067E"/>
    <w:rsid w:val="000908A5"/>
    <w:rsid w:val="000A27DE"/>
    <w:rsid w:val="000A7FDF"/>
    <w:rsid w:val="000A7FE9"/>
    <w:rsid w:val="000B566C"/>
    <w:rsid w:val="000C0DF0"/>
    <w:rsid w:val="000C3A38"/>
    <w:rsid w:val="000C441D"/>
    <w:rsid w:val="000C4C7B"/>
    <w:rsid w:val="000C5AF8"/>
    <w:rsid w:val="000D61AD"/>
    <w:rsid w:val="000E3506"/>
    <w:rsid w:val="000E3FB4"/>
    <w:rsid w:val="000E52DB"/>
    <w:rsid w:val="000F35F6"/>
    <w:rsid w:val="000F48D8"/>
    <w:rsid w:val="001004D5"/>
    <w:rsid w:val="001019E9"/>
    <w:rsid w:val="00116D02"/>
    <w:rsid w:val="00117DAA"/>
    <w:rsid w:val="00127735"/>
    <w:rsid w:val="00134C78"/>
    <w:rsid w:val="00136219"/>
    <w:rsid w:val="001624ED"/>
    <w:rsid w:val="001629B6"/>
    <w:rsid w:val="00173ED4"/>
    <w:rsid w:val="001902B4"/>
    <w:rsid w:val="001926CE"/>
    <w:rsid w:val="00192C70"/>
    <w:rsid w:val="00196075"/>
    <w:rsid w:val="001A1ECB"/>
    <w:rsid w:val="001B0B90"/>
    <w:rsid w:val="001B4002"/>
    <w:rsid w:val="001B57DC"/>
    <w:rsid w:val="001B5C6D"/>
    <w:rsid w:val="001B7222"/>
    <w:rsid w:val="001B73A5"/>
    <w:rsid w:val="001C2FCB"/>
    <w:rsid w:val="001C4118"/>
    <w:rsid w:val="001C75D3"/>
    <w:rsid w:val="001D0221"/>
    <w:rsid w:val="001D2E6A"/>
    <w:rsid w:val="001D7048"/>
    <w:rsid w:val="001E19E6"/>
    <w:rsid w:val="001F3655"/>
    <w:rsid w:val="00201CBF"/>
    <w:rsid w:val="002068F5"/>
    <w:rsid w:val="002111BA"/>
    <w:rsid w:val="002143D4"/>
    <w:rsid w:val="00220CC7"/>
    <w:rsid w:val="00221F9B"/>
    <w:rsid w:val="00267707"/>
    <w:rsid w:val="0029226A"/>
    <w:rsid w:val="00292A70"/>
    <w:rsid w:val="00295787"/>
    <w:rsid w:val="0029642B"/>
    <w:rsid w:val="00297969"/>
    <w:rsid w:val="002A4F6E"/>
    <w:rsid w:val="002B0D72"/>
    <w:rsid w:val="002B6C74"/>
    <w:rsid w:val="002D2918"/>
    <w:rsid w:val="002D7B67"/>
    <w:rsid w:val="002F19CE"/>
    <w:rsid w:val="002F4963"/>
    <w:rsid w:val="002F7512"/>
    <w:rsid w:val="002F7B5C"/>
    <w:rsid w:val="00302B3C"/>
    <w:rsid w:val="0030640A"/>
    <w:rsid w:val="00312637"/>
    <w:rsid w:val="0032347E"/>
    <w:rsid w:val="003245F6"/>
    <w:rsid w:val="00325A9E"/>
    <w:rsid w:val="00343D33"/>
    <w:rsid w:val="003453DF"/>
    <w:rsid w:val="00354057"/>
    <w:rsid w:val="00354F6B"/>
    <w:rsid w:val="003566F3"/>
    <w:rsid w:val="00362E99"/>
    <w:rsid w:val="00381DED"/>
    <w:rsid w:val="00385B0F"/>
    <w:rsid w:val="00386846"/>
    <w:rsid w:val="0038794D"/>
    <w:rsid w:val="003A763F"/>
    <w:rsid w:val="003B13C1"/>
    <w:rsid w:val="003B168B"/>
    <w:rsid w:val="003B5CB8"/>
    <w:rsid w:val="003C325C"/>
    <w:rsid w:val="003C46B2"/>
    <w:rsid w:val="003D3174"/>
    <w:rsid w:val="003E1BC9"/>
    <w:rsid w:val="003E5BAF"/>
    <w:rsid w:val="003F07F9"/>
    <w:rsid w:val="003F0E49"/>
    <w:rsid w:val="003F10A9"/>
    <w:rsid w:val="003F7E3F"/>
    <w:rsid w:val="00406862"/>
    <w:rsid w:val="0041502E"/>
    <w:rsid w:val="0042591B"/>
    <w:rsid w:val="004262E4"/>
    <w:rsid w:val="0043010F"/>
    <w:rsid w:val="00433665"/>
    <w:rsid w:val="004460EB"/>
    <w:rsid w:val="00451678"/>
    <w:rsid w:val="00453E25"/>
    <w:rsid w:val="00456BC8"/>
    <w:rsid w:val="0047688F"/>
    <w:rsid w:val="00482D6E"/>
    <w:rsid w:val="00490A43"/>
    <w:rsid w:val="00493046"/>
    <w:rsid w:val="004950CA"/>
    <w:rsid w:val="004A0F5C"/>
    <w:rsid w:val="004C29CD"/>
    <w:rsid w:val="004E18E6"/>
    <w:rsid w:val="004F0E4F"/>
    <w:rsid w:val="005104E0"/>
    <w:rsid w:val="00511B24"/>
    <w:rsid w:val="00527181"/>
    <w:rsid w:val="00527C4E"/>
    <w:rsid w:val="00534D99"/>
    <w:rsid w:val="00536C4B"/>
    <w:rsid w:val="00546B61"/>
    <w:rsid w:val="00547C2D"/>
    <w:rsid w:val="00556BD7"/>
    <w:rsid w:val="00557C95"/>
    <w:rsid w:val="00560E4E"/>
    <w:rsid w:val="0056180D"/>
    <w:rsid w:val="0056386F"/>
    <w:rsid w:val="005641E9"/>
    <w:rsid w:val="0057494B"/>
    <w:rsid w:val="00574FD6"/>
    <w:rsid w:val="00575BED"/>
    <w:rsid w:val="00580599"/>
    <w:rsid w:val="005862DD"/>
    <w:rsid w:val="0059348B"/>
    <w:rsid w:val="0059399E"/>
    <w:rsid w:val="005A34ED"/>
    <w:rsid w:val="005B005D"/>
    <w:rsid w:val="005C79CD"/>
    <w:rsid w:val="005E57DB"/>
    <w:rsid w:val="005F1847"/>
    <w:rsid w:val="005F6E0E"/>
    <w:rsid w:val="0060003E"/>
    <w:rsid w:val="0060227D"/>
    <w:rsid w:val="00604D5E"/>
    <w:rsid w:val="00610003"/>
    <w:rsid w:val="0061436F"/>
    <w:rsid w:val="006331FC"/>
    <w:rsid w:val="0064038E"/>
    <w:rsid w:val="0065495F"/>
    <w:rsid w:val="00657B1D"/>
    <w:rsid w:val="00660C63"/>
    <w:rsid w:val="0066288B"/>
    <w:rsid w:val="00663DC7"/>
    <w:rsid w:val="00670D48"/>
    <w:rsid w:val="00682623"/>
    <w:rsid w:val="00686F41"/>
    <w:rsid w:val="006A0F28"/>
    <w:rsid w:val="006A19B5"/>
    <w:rsid w:val="006A5E05"/>
    <w:rsid w:val="006A693C"/>
    <w:rsid w:val="006B7F5D"/>
    <w:rsid w:val="006D2133"/>
    <w:rsid w:val="006D691F"/>
    <w:rsid w:val="006F3909"/>
    <w:rsid w:val="00702274"/>
    <w:rsid w:val="00710E94"/>
    <w:rsid w:val="00722D8A"/>
    <w:rsid w:val="00725360"/>
    <w:rsid w:val="00731834"/>
    <w:rsid w:val="00736A98"/>
    <w:rsid w:val="00737433"/>
    <w:rsid w:val="00741677"/>
    <w:rsid w:val="00742EB3"/>
    <w:rsid w:val="007455A7"/>
    <w:rsid w:val="00754CA2"/>
    <w:rsid w:val="0075793A"/>
    <w:rsid w:val="007619BC"/>
    <w:rsid w:val="00762D25"/>
    <w:rsid w:val="007631E1"/>
    <w:rsid w:val="00763594"/>
    <w:rsid w:val="007641CE"/>
    <w:rsid w:val="0077184D"/>
    <w:rsid w:val="0077355D"/>
    <w:rsid w:val="00773F7C"/>
    <w:rsid w:val="00775194"/>
    <w:rsid w:val="007777B0"/>
    <w:rsid w:val="00780400"/>
    <w:rsid w:val="00782A6E"/>
    <w:rsid w:val="007842FC"/>
    <w:rsid w:val="00784AF2"/>
    <w:rsid w:val="007864CD"/>
    <w:rsid w:val="00792516"/>
    <w:rsid w:val="00793169"/>
    <w:rsid w:val="00794C0C"/>
    <w:rsid w:val="007A08C1"/>
    <w:rsid w:val="007B01AD"/>
    <w:rsid w:val="007C41B2"/>
    <w:rsid w:val="007C7672"/>
    <w:rsid w:val="007C79E8"/>
    <w:rsid w:val="007E36C7"/>
    <w:rsid w:val="007F32E4"/>
    <w:rsid w:val="00805034"/>
    <w:rsid w:val="008106CD"/>
    <w:rsid w:val="00816569"/>
    <w:rsid w:val="00830666"/>
    <w:rsid w:val="0083340A"/>
    <w:rsid w:val="00845636"/>
    <w:rsid w:val="0085794B"/>
    <w:rsid w:val="00860150"/>
    <w:rsid w:val="0086149D"/>
    <w:rsid w:val="008639A7"/>
    <w:rsid w:val="00865D38"/>
    <w:rsid w:val="00867B72"/>
    <w:rsid w:val="0087206F"/>
    <w:rsid w:val="008720B6"/>
    <w:rsid w:val="00884E78"/>
    <w:rsid w:val="0089385A"/>
    <w:rsid w:val="00893BDE"/>
    <w:rsid w:val="008B7AD0"/>
    <w:rsid w:val="008D099D"/>
    <w:rsid w:val="008D4872"/>
    <w:rsid w:val="008D6F13"/>
    <w:rsid w:val="008E17EF"/>
    <w:rsid w:val="00900F52"/>
    <w:rsid w:val="00902AB2"/>
    <w:rsid w:val="00914BF6"/>
    <w:rsid w:val="009210D8"/>
    <w:rsid w:val="00926A62"/>
    <w:rsid w:val="00927079"/>
    <w:rsid w:val="00935C15"/>
    <w:rsid w:val="00940DA7"/>
    <w:rsid w:val="00946072"/>
    <w:rsid w:val="00951E03"/>
    <w:rsid w:val="00963498"/>
    <w:rsid w:val="00982F0F"/>
    <w:rsid w:val="009841EB"/>
    <w:rsid w:val="00986968"/>
    <w:rsid w:val="00992F3A"/>
    <w:rsid w:val="009930EE"/>
    <w:rsid w:val="009A0323"/>
    <w:rsid w:val="009A06C9"/>
    <w:rsid w:val="009A2E31"/>
    <w:rsid w:val="009B0493"/>
    <w:rsid w:val="009B5785"/>
    <w:rsid w:val="009C09CD"/>
    <w:rsid w:val="009C4CDF"/>
    <w:rsid w:val="009C6695"/>
    <w:rsid w:val="009D2F68"/>
    <w:rsid w:val="009E37D6"/>
    <w:rsid w:val="009E58BD"/>
    <w:rsid w:val="009E775A"/>
    <w:rsid w:val="009E7AD8"/>
    <w:rsid w:val="009F6D8B"/>
    <w:rsid w:val="009F7C8D"/>
    <w:rsid w:val="00A03B52"/>
    <w:rsid w:val="00A03CD6"/>
    <w:rsid w:val="00A05E90"/>
    <w:rsid w:val="00A10167"/>
    <w:rsid w:val="00A13645"/>
    <w:rsid w:val="00A17FDE"/>
    <w:rsid w:val="00A22DEC"/>
    <w:rsid w:val="00A269B4"/>
    <w:rsid w:val="00A315B4"/>
    <w:rsid w:val="00A32217"/>
    <w:rsid w:val="00A37787"/>
    <w:rsid w:val="00A42A66"/>
    <w:rsid w:val="00A507ED"/>
    <w:rsid w:val="00A50E27"/>
    <w:rsid w:val="00A6082B"/>
    <w:rsid w:val="00A80396"/>
    <w:rsid w:val="00A84F56"/>
    <w:rsid w:val="00A92C21"/>
    <w:rsid w:val="00A9652C"/>
    <w:rsid w:val="00AA0341"/>
    <w:rsid w:val="00AA3B55"/>
    <w:rsid w:val="00AB22ED"/>
    <w:rsid w:val="00AC510E"/>
    <w:rsid w:val="00AE3E7E"/>
    <w:rsid w:val="00AF094D"/>
    <w:rsid w:val="00AF3539"/>
    <w:rsid w:val="00AF5DE8"/>
    <w:rsid w:val="00AF7054"/>
    <w:rsid w:val="00AF7F45"/>
    <w:rsid w:val="00B1010B"/>
    <w:rsid w:val="00B10C9D"/>
    <w:rsid w:val="00B21A65"/>
    <w:rsid w:val="00B24F1E"/>
    <w:rsid w:val="00B30AF1"/>
    <w:rsid w:val="00B37123"/>
    <w:rsid w:val="00B417EB"/>
    <w:rsid w:val="00B44F6F"/>
    <w:rsid w:val="00B46147"/>
    <w:rsid w:val="00B477A1"/>
    <w:rsid w:val="00B53AC0"/>
    <w:rsid w:val="00B54568"/>
    <w:rsid w:val="00B54D6F"/>
    <w:rsid w:val="00B64E56"/>
    <w:rsid w:val="00B658D1"/>
    <w:rsid w:val="00B702B4"/>
    <w:rsid w:val="00B703FE"/>
    <w:rsid w:val="00B726EE"/>
    <w:rsid w:val="00B7275B"/>
    <w:rsid w:val="00B75B0C"/>
    <w:rsid w:val="00B764E4"/>
    <w:rsid w:val="00B86328"/>
    <w:rsid w:val="00B9181C"/>
    <w:rsid w:val="00B91BF8"/>
    <w:rsid w:val="00BA2F80"/>
    <w:rsid w:val="00BA4D6E"/>
    <w:rsid w:val="00BB2357"/>
    <w:rsid w:val="00BC0743"/>
    <w:rsid w:val="00BD5A3B"/>
    <w:rsid w:val="00BD5FF3"/>
    <w:rsid w:val="00BD65F9"/>
    <w:rsid w:val="00BD6E41"/>
    <w:rsid w:val="00BD79C3"/>
    <w:rsid w:val="00BE4402"/>
    <w:rsid w:val="00C00D68"/>
    <w:rsid w:val="00C01BF2"/>
    <w:rsid w:val="00C04100"/>
    <w:rsid w:val="00C07010"/>
    <w:rsid w:val="00C21ABF"/>
    <w:rsid w:val="00C22F45"/>
    <w:rsid w:val="00C25A6D"/>
    <w:rsid w:val="00C31FD9"/>
    <w:rsid w:val="00C34374"/>
    <w:rsid w:val="00C359AA"/>
    <w:rsid w:val="00C36446"/>
    <w:rsid w:val="00C41196"/>
    <w:rsid w:val="00C43567"/>
    <w:rsid w:val="00C454B6"/>
    <w:rsid w:val="00C53044"/>
    <w:rsid w:val="00C5455F"/>
    <w:rsid w:val="00C5798C"/>
    <w:rsid w:val="00C57B16"/>
    <w:rsid w:val="00C57CD6"/>
    <w:rsid w:val="00C62249"/>
    <w:rsid w:val="00C71BC5"/>
    <w:rsid w:val="00C74CE2"/>
    <w:rsid w:val="00C77C8C"/>
    <w:rsid w:val="00C823F9"/>
    <w:rsid w:val="00C82555"/>
    <w:rsid w:val="00C82565"/>
    <w:rsid w:val="00C9405C"/>
    <w:rsid w:val="00CB443D"/>
    <w:rsid w:val="00CD205F"/>
    <w:rsid w:val="00CE7F22"/>
    <w:rsid w:val="00CF292C"/>
    <w:rsid w:val="00CF4459"/>
    <w:rsid w:val="00D03E1E"/>
    <w:rsid w:val="00D06769"/>
    <w:rsid w:val="00D07B59"/>
    <w:rsid w:val="00D12FA2"/>
    <w:rsid w:val="00D130DF"/>
    <w:rsid w:val="00D25883"/>
    <w:rsid w:val="00D30546"/>
    <w:rsid w:val="00D31281"/>
    <w:rsid w:val="00D33CD9"/>
    <w:rsid w:val="00D34851"/>
    <w:rsid w:val="00D43D64"/>
    <w:rsid w:val="00D46238"/>
    <w:rsid w:val="00D55A0E"/>
    <w:rsid w:val="00D5701D"/>
    <w:rsid w:val="00D616DA"/>
    <w:rsid w:val="00D6183C"/>
    <w:rsid w:val="00D65C75"/>
    <w:rsid w:val="00D6621F"/>
    <w:rsid w:val="00D718E0"/>
    <w:rsid w:val="00D7551F"/>
    <w:rsid w:val="00D85E07"/>
    <w:rsid w:val="00D92AB0"/>
    <w:rsid w:val="00DA3939"/>
    <w:rsid w:val="00DA3FF3"/>
    <w:rsid w:val="00DB2775"/>
    <w:rsid w:val="00DB447E"/>
    <w:rsid w:val="00DC5B35"/>
    <w:rsid w:val="00DD2579"/>
    <w:rsid w:val="00DD4769"/>
    <w:rsid w:val="00DE41A3"/>
    <w:rsid w:val="00DE5123"/>
    <w:rsid w:val="00DE51C6"/>
    <w:rsid w:val="00DF04B1"/>
    <w:rsid w:val="00DF3569"/>
    <w:rsid w:val="00DF74CE"/>
    <w:rsid w:val="00E02B9D"/>
    <w:rsid w:val="00E03A93"/>
    <w:rsid w:val="00E069A3"/>
    <w:rsid w:val="00E1608B"/>
    <w:rsid w:val="00E31672"/>
    <w:rsid w:val="00E33B87"/>
    <w:rsid w:val="00E42619"/>
    <w:rsid w:val="00E542CB"/>
    <w:rsid w:val="00E8073D"/>
    <w:rsid w:val="00E965B9"/>
    <w:rsid w:val="00EA017A"/>
    <w:rsid w:val="00EA4D33"/>
    <w:rsid w:val="00EA59F3"/>
    <w:rsid w:val="00EB403F"/>
    <w:rsid w:val="00EC4456"/>
    <w:rsid w:val="00ED5C59"/>
    <w:rsid w:val="00EE15E0"/>
    <w:rsid w:val="00EE2B30"/>
    <w:rsid w:val="00EE4FE0"/>
    <w:rsid w:val="00EF10AD"/>
    <w:rsid w:val="00EF307B"/>
    <w:rsid w:val="00EF74A3"/>
    <w:rsid w:val="00EF7872"/>
    <w:rsid w:val="00F0015E"/>
    <w:rsid w:val="00F12EFE"/>
    <w:rsid w:val="00F26171"/>
    <w:rsid w:val="00F319BB"/>
    <w:rsid w:val="00F40F08"/>
    <w:rsid w:val="00F50FDF"/>
    <w:rsid w:val="00F71790"/>
    <w:rsid w:val="00F75164"/>
    <w:rsid w:val="00F803B0"/>
    <w:rsid w:val="00F83F17"/>
    <w:rsid w:val="00F87D05"/>
    <w:rsid w:val="00FB160F"/>
    <w:rsid w:val="00FC2581"/>
    <w:rsid w:val="00FD32AE"/>
    <w:rsid w:val="00FD45FD"/>
    <w:rsid w:val="00FD4AEF"/>
    <w:rsid w:val="00FE188E"/>
    <w:rsid w:val="00FE5141"/>
    <w:rsid w:val="00FF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494ACA"/>
  <w15:chartTrackingRefBased/>
  <w15:docId w15:val="{501D5DB6-892C-4634-B04B-F1B1C2F23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8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918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3566F3"/>
    <w:pPr>
      <w:keepNext/>
      <w:tabs>
        <w:tab w:val="num" w:pos="360"/>
      </w:tabs>
      <w:spacing w:before="120" w:after="120"/>
      <w:ind w:left="360" w:hanging="72"/>
      <w:jc w:val="both"/>
      <w:outlineLvl w:val="1"/>
    </w:pPr>
    <w:rPr>
      <w:rFonts w:ascii="Arial" w:hAnsi="Arial"/>
      <w:b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66F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it_List1,A_маркированный_список,Абзац списка литеральный,lp1,Bullet List,FooterText,numbered,Paragraphe de liste1,Ненумерованный список,List,List1,List11,List111,List1111,Table-Normal,RSHB_Table-Normal"/>
    <w:basedOn w:val="a"/>
    <w:link w:val="a4"/>
    <w:uiPriority w:val="34"/>
    <w:qFormat/>
    <w:rsid w:val="001629B6"/>
    <w:pPr>
      <w:ind w:left="720"/>
      <w:contextualSpacing/>
    </w:pPr>
  </w:style>
  <w:style w:type="character" w:customStyle="1" w:styleId="itemtext1">
    <w:name w:val="itemtext1"/>
    <w:basedOn w:val="a0"/>
    <w:rsid w:val="005A34ED"/>
    <w:rPr>
      <w:rFonts w:ascii="Segoe UI" w:hAnsi="Segoe UI" w:cs="Segoe UI" w:hint="default"/>
      <w:color w:val="00000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rsid w:val="003566F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4">
    <w:name w:val="Абзац списка Знак"/>
    <w:aliases w:val="it_List1 Знак,A_маркированный_список Знак,Абзац списка литеральный Знак,lp1 Знак,Bullet List Знак,FooterText Знак,numbered Знак,Paragraphe de liste1 Знак,Ненумерованный список Знак,List Знак,List1 Знак,List11 Знак,List111 Знак"/>
    <w:basedOn w:val="a0"/>
    <w:link w:val="a3"/>
    <w:uiPriority w:val="34"/>
    <w:locked/>
    <w:rsid w:val="003566F3"/>
  </w:style>
  <w:style w:type="character" w:customStyle="1" w:styleId="50">
    <w:name w:val="Заголовок 5 Знак"/>
    <w:basedOn w:val="a0"/>
    <w:link w:val="5"/>
    <w:uiPriority w:val="9"/>
    <w:semiHidden/>
    <w:rsid w:val="003566F3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5">
    <w:name w:val="Balloon Text"/>
    <w:basedOn w:val="a"/>
    <w:link w:val="a6"/>
    <w:uiPriority w:val="99"/>
    <w:semiHidden/>
    <w:unhideWhenUsed/>
    <w:rsid w:val="003566F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66F3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FD45FD"/>
    <w:rPr>
      <w:color w:val="0563C1"/>
      <w:u w:val="single"/>
    </w:rPr>
  </w:style>
  <w:style w:type="paragraph" w:customStyle="1" w:styleId="ConsPlusTitle">
    <w:name w:val="ConsPlusTitle"/>
    <w:rsid w:val="00C31FD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918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qFormat/>
    <w:rsid w:val="005F6E0E"/>
    <w:pPr>
      <w:tabs>
        <w:tab w:val="left" w:pos="440"/>
        <w:tab w:val="right" w:pos="9685"/>
      </w:tabs>
      <w:spacing w:line="360" w:lineRule="auto"/>
      <w:jc w:val="both"/>
    </w:pPr>
    <w:rPr>
      <w:bCs/>
      <w:caps/>
      <w:noProof/>
      <w:spacing w:val="5"/>
      <w:sz w:val="24"/>
      <w:szCs w:val="24"/>
    </w:rPr>
  </w:style>
  <w:style w:type="paragraph" w:styleId="a8">
    <w:name w:val="No Spacing"/>
    <w:link w:val="a9"/>
    <w:uiPriority w:val="1"/>
    <w:qFormat/>
    <w:rsid w:val="00B918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B9181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918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B9181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9181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B918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TOC Heading"/>
    <w:basedOn w:val="1"/>
    <w:next w:val="a"/>
    <w:uiPriority w:val="39"/>
    <w:unhideWhenUsed/>
    <w:qFormat/>
    <w:rsid w:val="003A763F"/>
    <w:pPr>
      <w:spacing w:line="259" w:lineRule="auto"/>
      <w:outlineLvl w:val="9"/>
    </w:pPr>
  </w:style>
  <w:style w:type="paragraph" w:styleId="21">
    <w:name w:val="toc 2"/>
    <w:basedOn w:val="a"/>
    <w:next w:val="a"/>
    <w:autoRedefine/>
    <w:uiPriority w:val="39"/>
    <w:unhideWhenUsed/>
    <w:rsid w:val="003A763F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3A763F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table" w:styleId="af">
    <w:name w:val="Table Grid"/>
    <w:basedOn w:val="a1"/>
    <w:uiPriority w:val="99"/>
    <w:rsid w:val="00E4261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DTNormal">
    <w:name w:val="ConsDTNormal"/>
    <w:uiPriority w:val="99"/>
    <w:rsid w:val="00E42619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note text"/>
    <w:basedOn w:val="a"/>
    <w:link w:val="af1"/>
    <w:uiPriority w:val="99"/>
    <w:unhideWhenUsed/>
    <w:rsid w:val="00DA3939"/>
  </w:style>
  <w:style w:type="character" w:customStyle="1" w:styleId="af1">
    <w:name w:val="Текст сноски Знак"/>
    <w:basedOn w:val="a0"/>
    <w:link w:val="af0"/>
    <w:uiPriority w:val="99"/>
    <w:rsid w:val="00DA39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DA3939"/>
    <w:rPr>
      <w:vertAlign w:val="superscript"/>
    </w:rPr>
  </w:style>
  <w:style w:type="character" w:customStyle="1" w:styleId="uv3um">
    <w:name w:val="uv3um"/>
    <w:basedOn w:val="a0"/>
    <w:rsid w:val="00DB2775"/>
  </w:style>
  <w:style w:type="paragraph" w:customStyle="1" w:styleId="ConsPlusNormal">
    <w:name w:val="ConsPlusNormal"/>
    <w:rsid w:val="00560E4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f3">
    <w:name w:val="annotation reference"/>
    <w:basedOn w:val="a0"/>
    <w:uiPriority w:val="99"/>
    <w:semiHidden/>
    <w:unhideWhenUsed/>
    <w:rsid w:val="0085794B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85794B"/>
    <w:rPr>
      <w:rFonts w:eastAsiaTheme="minorHAnsi"/>
      <w:lang w:val="en-GB" w:eastAsia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85794B"/>
    <w:rPr>
      <w:rFonts w:ascii="Times New Roman" w:hAnsi="Times New Roman" w:cs="Times New Roman"/>
      <w:sz w:val="20"/>
      <w:szCs w:val="20"/>
      <w:lang w:val="en-GB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F35F6"/>
    <w:rPr>
      <w:rFonts w:eastAsia="Times New Roman"/>
      <w:b/>
      <w:bCs/>
      <w:lang w:val="ru-RU" w:eastAsia="ru-RU"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0F35F6"/>
    <w:rPr>
      <w:rFonts w:ascii="Times New Roman" w:eastAsia="Times New Roman" w:hAnsi="Times New Roman" w:cs="Times New Roman"/>
      <w:b/>
      <w:bCs/>
      <w:sz w:val="20"/>
      <w:szCs w:val="20"/>
      <w:lang w:val="en-GB" w:eastAsia="ru-RU"/>
    </w:rPr>
  </w:style>
  <w:style w:type="paragraph" w:customStyle="1" w:styleId="Default">
    <w:name w:val="Default"/>
    <w:rsid w:val="005618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1132A-65DF-4BD3-90FF-694AFD761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1524</Words>
  <Characters>8687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Екатерина Викторовна</dc:creator>
  <cp:keywords/>
  <dc:description/>
  <cp:lastModifiedBy>Иванова Екатерина Викторовна</cp:lastModifiedBy>
  <cp:revision>2</cp:revision>
  <cp:lastPrinted>2025-05-20T13:42:00Z</cp:lastPrinted>
  <dcterms:created xsi:type="dcterms:W3CDTF">2025-10-08T07:36:00Z</dcterms:created>
  <dcterms:modified xsi:type="dcterms:W3CDTF">2025-10-08T07:36:00Z</dcterms:modified>
</cp:coreProperties>
</file>