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35A" w:rsidRDefault="0044635A" w:rsidP="0044635A">
      <w:pPr>
        <w:spacing w:after="120"/>
        <w:ind w:firstLine="567"/>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Клиентам ББР Банка (АО)</w:t>
      </w:r>
    </w:p>
    <w:p w:rsidR="0044635A" w:rsidRDefault="0044635A" w:rsidP="0044635A">
      <w:pPr>
        <w:spacing w:after="120"/>
        <w:ind w:firstLine="567"/>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 изменениях Условий осуществления </w:t>
      </w:r>
    </w:p>
    <w:p w:rsidR="0044635A" w:rsidRDefault="0044635A" w:rsidP="0044635A">
      <w:pPr>
        <w:spacing w:after="120"/>
        <w:ind w:firstLine="567"/>
        <w:jc w:val="both"/>
        <w:rPr>
          <w:rFonts w:ascii="Times New Roman" w:eastAsia="Times New Roman" w:hAnsi="Times New Roman" w:cs="Times New Roman"/>
          <w:sz w:val="24"/>
          <w:lang w:eastAsia="ru-RU"/>
        </w:rPr>
      </w:pPr>
      <w:r w:rsidRPr="0044635A">
        <w:rPr>
          <w:rFonts w:ascii="Times New Roman" w:eastAsia="Times New Roman" w:hAnsi="Times New Roman" w:cs="Times New Roman"/>
          <w:sz w:val="24"/>
          <w:lang w:eastAsia="ru-RU"/>
        </w:rPr>
        <w:t xml:space="preserve"> депозитарной деятельности</w:t>
      </w:r>
      <w:r>
        <w:rPr>
          <w:rFonts w:ascii="Times New Roman" w:eastAsia="Times New Roman" w:hAnsi="Times New Roman" w:cs="Times New Roman"/>
          <w:sz w:val="24"/>
          <w:lang w:eastAsia="ru-RU"/>
        </w:rPr>
        <w:t xml:space="preserve"> </w:t>
      </w:r>
    </w:p>
    <w:p w:rsidR="0044635A" w:rsidRPr="0044635A" w:rsidRDefault="0044635A" w:rsidP="0044635A">
      <w:pPr>
        <w:spacing w:after="120"/>
        <w:ind w:firstLine="567"/>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w:t>
      </w:r>
      <w:r w:rsidRPr="0044635A">
        <w:rPr>
          <w:rFonts w:ascii="Times New Roman" w:eastAsia="Times New Roman" w:hAnsi="Times New Roman" w:cs="Times New Roman"/>
          <w:sz w:val="24"/>
          <w:lang w:eastAsia="ru-RU"/>
        </w:rPr>
        <w:t xml:space="preserve">Клиентский </w:t>
      </w:r>
      <w:proofErr w:type="gramStart"/>
      <w:r w:rsidRPr="0044635A">
        <w:rPr>
          <w:rFonts w:ascii="Times New Roman" w:eastAsia="Times New Roman" w:hAnsi="Times New Roman" w:cs="Times New Roman"/>
          <w:sz w:val="24"/>
          <w:lang w:eastAsia="ru-RU"/>
        </w:rPr>
        <w:t>регламент)</w:t>
      </w:r>
      <w:r>
        <w:rPr>
          <w:rFonts w:ascii="Times New Roman" w:eastAsia="Times New Roman" w:hAnsi="Times New Roman" w:cs="Times New Roman"/>
          <w:sz w:val="24"/>
          <w:lang w:eastAsia="ru-RU"/>
        </w:rPr>
        <w:t xml:space="preserve"> </w:t>
      </w:r>
      <w:r w:rsidRPr="0044635A">
        <w:rPr>
          <w:rFonts w:ascii="Times New Roman" w:eastAsia="Times New Roman" w:hAnsi="Times New Roman" w:cs="Times New Roman"/>
          <w:sz w:val="24"/>
          <w:lang w:eastAsia="ru-RU"/>
        </w:rPr>
        <w:t xml:space="preserve"> ББР</w:t>
      </w:r>
      <w:proofErr w:type="gramEnd"/>
      <w:r w:rsidRPr="0044635A">
        <w:rPr>
          <w:rFonts w:ascii="Times New Roman" w:eastAsia="Times New Roman" w:hAnsi="Times New Roman" w:cs="Times New Roman"/>
          <w:sz w:val="24"/>
          <w:lang w:eastAsia="ru-RU"/>
        </w:rPr>
        <w:t xml:space="preserve"> Банк (акционерное общество)</w:t>
      </w:r>
    </w:p>
    <w:p w:rsidR="0044635A" w:rsidRDefault="0044635A" w:rsidP="0044635A">
      <w:pPr>
        <w:pStyle w:val="2"/>
        <w:keepNext w:val="0"/>
        <w:widowControl w:val="0"/>
        <w:spacing w:before="240" w:after="240"/>
        <w:ind w:left="709" w:right="283"/>
        <w:rPr>
          <w:bCs/>
          <w:szCs w:val="24"/>
        </w:rPr>
      </w:pPr>
    </w:p>
    <w:p w:rsidR="0044635A" w:rsidRDefault="0044635A" w:rsidP="0044635A">
      <w:pPr>
        <w:pStyle w:val="2"/>
        <w:keepNext w:val="0"/>
        <w:widowControl w:val="0"/>
        <w:spacing w:before="240" w:after="240"/>
        <w:ind w:left="709" w:right="283"/>
        <w:rPr>
          <w:bCs/>
          <w:szCs w:val="24"/>
        </w:rPr>
      </w:pPr>
      <w:r w:rsidRPr="004C7C03">
        <w:rPr>
          <w:bCs/>
          <w:szCs w:val="24"/>
        </w:rPr>
        <w:t>ИНФОРМАЦИОННОЕ ПИСЬМО</w:t>
      </w:r>
    </w:p>
    <w:p w:rsidR="0044635A" w:rsidRPr="004C7C03" w:rsidRDefault="0044635A" w:rsidP="0044635A">
      <w:pPr>
        <w:spacing w:after="120"/>
        <w:ind w:firstLine="567"/>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ББР Банк (акционерное общество)</w:t>
      </w:r>
      <w:r w:rsidRPr="004C7C03">
        <w:rPr>
          <w:rFonts w:ascii="Times New Roman" w:eastAsia="Times New Roman" w:hAnsi="Times New Roman" w:cs="Times New Roman"/>
          <w:sz w:val="24"/>
          <w:lang w:eastAsia="ru-RU"/>
        </w:rPr>
        <w:t xml:space="preserve"> сообщает о том, </w:t>
      </w:r>
      <w:r w:rsidRPr="00015EFA">
        <w:rPr>
          <w:rFonts w:ascii="Times New Roman" w:eastAsia="Times New Roman" w:hAnsi="Times New Roman" w:cs="Times New Roman"/>
          <w:sz w:val="24"/>
          <w:lang w:eastAsia="ru-RU"/>
        </w:rPr>
        <w:t xml:space="preserve">что </w:t>
      </w:r>
      <w:r w:rsidR="00876945">
        <w:rPr>
          <w:rFonts w:ascii="Times New Roman" w:eastAsia="Times New Roman" w:hAnsi="Times New Roman" w:cs="Times New Roman"/>
          <w:b/>
          <w:sz w:val="24"/>
          <w:lang w:eastAsia="ru-RU"/>
        </w:rPr>
        <w:t>с 16 января 2026</w:t>
      </w:r>
      <w:r w:rsidRPr="00015EFA">
        <w:rPr>
          <w:rFonts w:ascii="Times New Roman" w:eastAsia="Times New Roman" w:hAnsi="Times New Roman" w:cs="Times New Roman"/>
          <w:b/>
          <w:sz w:val="24"/>
          <w:lang w:eastAsia="ru-RU"/>
        </w:rPr>
        <w:t xml:space="preserve"> года</w:t>
      </w:r>
      <w:r w:rsidR="00876945">
        <w:rPr>
          <w:rFonts w:ascii="Times New Roman" w:eastAsia="Times New Roman" w:hAnsi="Times New Roman" w:cs="Times New Roman"/>
          <w:sz w:val="24"/>
          <w:lang w:eastAsia="ru-RU"/>
        </w:rPr>
        <w:t xml:space="preserve"> вступаю</w:t>
      </w:r>
      <w:r w:rsidRPr="004C7C03">
        <w:rPr>
          <w:rFonts w:ascii="Times New Roman" w:eastAsia="Times New Roman" w:hAnsi="Times New Roman" w:cs="Times New Roman"/>
          <w:sz w:val="24"/>
          <w:lang w:eastAsia="ru-RU"/>
        </w:rPr>
        <w:t xml:space="preserve">т в </w:t>
      </w:r>
      <w:r>
        <w:rPr>
          <w:rFonts w:ascii="Times New Roman" w:eastAsia="Times New Roman" w:hAnsi="Times New Roman" w:cs="Times New Roman"/>
          <w:sz w:val="24"/>
          <w:lang w:eastAsia="ru-RU"/>
        </w:rPr>
        <w:t>силу</w:t>
      </w:r>
      <w:r w:rsidRPr="004C7C03">
        <w:rPr>
          <w:rFonts w:ascii="Times New Roman" w:eastAsia="Times New Roman" w:hAnsi="Times New Roman" w:cs="Times New Roman"/>
          <w:sz w:val="24"/>
          <w:lang w:eastAsia="ru-RU"/>
        </w:rPr>
        <w:t xml:space="preserve"> </w:t>
      </w:r>
      <w:r w:rsidR="00876945">
        <w:rPr>
          <w:rFonts w:ascii="Times New Roman" w:eastAsia="Times New Roman" w:hAnsi="Times New Roman" w:cs="Times New Roman"/>
          <w:sz w:val="24"/>
          <w:lang w:eastAsia="ru-RU"/>
        </w:rPr>
        <w:t>изменения №1 в действующую редакцию</w:t>
      </w:r>
      <w:r w:rsidRPr="004C7C03">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Условий осуществления </w:t>
      </w:r>
      <w:r w:rsidRPr="0044635A">
        <w:rPr>
          <w:rFonts w:ascii="Times New Roman" w:eastAsia="Times New Roman" w:hAnsi="Times New Roman" w:cs="Times New Roman"/>
          <w:sz w:val="24"/>
          <w:lang w:eastAsia="ru-RU"/>
        </w:rPr>
        <w:t>депозитарной деятельности</w:t>
      </w:r>
      <w:r w:rsidR="00E31328">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w:t>
      </w:r>
      <w:r w:rsidRPr="0044635A">
        <w:rPr>
          <w:rFonts w:ascii="Times New Roman" w:eastAsia="Times New Roman" w:hAnsi="Times New Roman" w:cs="Times New Roman"/>
          <w:sz w:val="24"/>
          <w:lang w:eastAsia="ru-RU"/>
        </w:rPr>
        <w:t xml:space="preserve">Клиентский </w:t>
      </w:r>
      <w:proofErr w:type="gramStart"/>
      <w:r w:rsidRPr="0044635A">
        <w:rPr>
          <w:rFonts w:ascii="Times New Roman" w:eastAsia="Times New Roman" w:hAnsi="Times New Roman" w:cs="Times New Roman"/>
          <w:sz w:val="24"/>
          <w:lang w:eastAsia="ru-RU"/>
        </w:rPr>
        <w:t>регламент)</w:t>
      </w:r>
      <w:r>
        <w:rPr>
          <w:rFonts w:ascii="Times New Roman" w:eastAsia="Times New Roman" w:hAnsi="Times New Roman" w:cs="Times New Roman"/>
          <w:sz w:val="24"/>
          <w:lang w:eastAsia="ru-RU"/>
        </w:rPr>
        <w:t xml:space="preserve"> </w:t>
      </w:r>
      <w:r w:rsidRPr="0044635A">
        <w:rPr>
          <w:rFonts w:ascii="Times New Roman" w:eastAsia="Times New Roman" w:hAnsi="Times New Roman" w:cs="Times New Roman"/>
          <w:sz w:val="24"/>
          <w:lang w:eastAsia="ru-RU"/>
        </w:rPr>
        <w:t xml:space="preserve"> ББР</w:t>
      </w:r>
      <w:proofErr w:type="gramEnd"/>
      <w:r w:rsidRPr="0044635A">
        <w:rPr>
          <w:rFonts w:ascii="Times New Roman" w:eastAsia="Times New Roman" w:hAnsi="Times New Roman" w:cs="Times New Roman"/>
          <w:sz w:val="24"/>
          <w:lang w:eastAsia="ru-RU"/>
        </w:rPr>
        <w:t xml:space="preserve"> Банк (акционерное общество)</w:t>
      </w:r>
      <w:r w:rsidR="00E31328">
        <w:rPr>
          <w:rFonts w:ascii="Times New Roman" w:eastAsia="Times New Roman" w:hAnsi="Times New Roman" w:cs="Times New Roman"/>
          <w:sz w:val="24"/>
          <w:lang w:eastAsia="ru-RU"/>
        </w:rPr>
        <w:t xml:space="preserve"> </w:t>
      </w:r>
      <w:r w:rsidRPr="004C7C03">
        <w:rPr>
          <w:rFonts w:ascii="Times New Roman" w:eastAsia="Times New Roman" w:hAnsi="Times New Roman" w:cs="Times New Roman"/>
          <w:sz w:val="24"/>
          <w:lang w:eastAsia="ru-RU"/>
        </w:rPr>
        <w:t xml:space="preserve"> (далее – </w:t>
      </w:r>
      <w:r w:rsidR="00E31328">
        <w:rPr>
          <w:rFonts w:ascii="Times New Roman" w:eastAsia="Times New Roman" w:hAnsi="Times New Roman" w:cs="Times New Roman"/>
          <w:sz w:val="24"/>
          <w:lang w:eastAsia="ru-RU"/>
        </w:rPr>
        <w:t>Условия</w:t>
      </w:r>
      <w:r w:rsidRPr="004C7C03">
        <w:rPr>
          <w:rFonts w:ascii="Times New Roman" w:eastAsia="Times New Roman" w:hAnsi="Times New Roman" w:cs="Times New Roman"/>
          <w:sz w:val="24"/>
          <w:lang w:eastAsia="ru-RU"/>
        </w:rPr>
        <w:t xml:space="preserve">). </w:t>
      </w:r>
    </w:p>
    <w:p w:rsidR="0044635A" w:rsidRPr="004C7C03" w:rsidRDefault="0044635A" w:rsidP="0044635A">
      <w:pPr>
        <w:spacing w:after="120"/>
        <w:ind w:firstLine="567"/>
        <w:jc w:val="both"/>
        <w:rPr>
          <w:rFonts w:ascii="Times New Roman" w:eastAsia="Times New Roman" w:hAnsi="Times New Roman" w:cs="Times New Roman"/>
          <w:sz w:val="24"/>
          <w:lang w:eastAsia="ru-RU"/>
        </w:rPr>
      </w:pPr>
      <w:r w:rsidRPr="004C7C03">
        <w:rPr>
          <w:rFonts w:ascii="Times New Roman" w:eastAsia="Times New Roman" w:hAnsi="Times New Roman" w:cs="Times New Roman"/>
          <w:sz w:val="24"/>
          <w:lang w:eastAsia="ru-RU"/>
        </w:rPr>
        <w:t xml:space="preserve">Согласно </w:t>
      </w:r>
      <w:r w:rsidR="00876945">
        <w:rPr>
          <w:rFonts w:ascii="Times New Roman" w:eastAsia="Times New Roman" w:hAnsi="Times New Roman" w:cs="Times New Roman"/>
          <w:sz w:val="24"/>
          <w:lang w:eastAsia="ru-RU"/>
        </w:rPr>
        <w:t>изменений №1</w:t>
      </w:r>
      <w:r w:rsidRPr="004C7C03">
        <w:rPr>
          <w:rFonts w:ascii="Times New Roman" w:eastAsia="Times New Roman" w:hAnsi="Times New Roman" w:cs="Times New Roman"/>
          <w:sz w:val="24"/>
          <w:lang w:eastAsia="ru-RU"/>
        </w:rPr>
        <w:t xml:space="preserve"> </w:t>
      </w:r>
      <w:r w:rsidR="00E31328">
        <w:rPr>
          <w:rFonts w:ascii="Times New Roman" w:eastAsia="Times New Roman" w:hAnsi="Times New Roman" w:cs="Times New Roman"/>
          <w:sz w:val="24"/>
          <w:lang w:eastAsia="ru-RU"/>
        </w:rPr>
        <w:t>Условий</w:t>
      </w:r>
      <w:r w:rsidRPr="004C7C03">
        <w:rPr>
          <w:rFonts w:ascii="Times New Roman" w:eastAsia="Times New Roman" w:hAnsi="Times New Roman" w:cs="Times New Roman"/>
          <w:sz w:val="24"/>
          <w:vertAlign w:val="superscript"/>
          <w:lang w:eastAsia="ru-RU"/>
        </w:rPr>
        <w:footnoteReference w:id="1"/>
      </w:r>
      <w:r w:rsidRPr="004C7C03">
        <w:rPr>
          <w:rFonts w:ascii="Times New Roman" w:eastAsia="Times New Roman" w:hAnsi="Times New Roman" w:cs="Times New Roman"/>
          <w:sz w:val="24"/>
          <w:lang w:eastAsia="ru-RU"/>
        </w:rPr>
        <w:t>:</w:t>
      </w:r>
    </w:p>
    <w:p w:rsidR="00015EFA" w:rsidRDefault="002C28B0" w:rsidP="00876945">
      <w:pPr>
        <w:spacing w:after="0" w:line="240" w:lineRule="auto"/>
        <w:ind w:left="1368"/>
        <w:jc w:val="both"/>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rPr>
        <w:t>-</w:t>
      </w:r>
      <w:r w:rsidR="00876945">
        <w:rPr>
          <w:rFonts w:ascii="Times New Roman" w:eastAsia="Times New Roman" w:hAnsi="Times New Roman" w:cs="Times New Roman"/>
          <w:sz w:val="24"/>
          <w:lang w:eastAsia="ru-RU"/>
        </w:rPr>
        <w:t>Внесены дополнения в раздел 1.7. «</w:t>
      </w:r>
      <w:r w:rsidR="00876945" w:rsidRPr="00876945">
        <w:rPr>
          <w:rFonts w:ascii="Times New Roman" w:eastAsia="Times New Roman" w:hAnsi="Times New Roman" w:cs="Times New Roman"/>
          <w:sz w:val="24"/>
          <w:lang w:eastAsia="ru-RU" w:bidi="ru-RU"/>
        </w:rPr>
        <w:t>Общие положения о Договорах. Порядок заключения, изменения, расторжения Договоров.»</w:t>
      </w:r>
      <w:r w:rsidR="00876945">
        <w:rPr>
          <w:rFonts w:ascii="Times New Roman" w:eastAsia="Times New Roman" w:hAnsi="Times New Roman" w:cs="Times New Roman"/>
          <w:sz w:val="24"/>
          <w:lang w:eastAsia="ru-RU" w:bidi="ru-RU"/>
        </w:rPr>
        <w:t>. Прописан порядок заключения, действия депозитарного договора в рамках обслуживания ИИС.</w:t>
      </w:r>
    </w:p>
    <w:p w:rsidR="00876945" w:rsidRDefault="00876945" w:rsidP="00876945">
      <w:pPr>
        <w:spacing w:after="0" w:line="240" w:lineRule="auto"/>
        <w:ind w:left="1368"/>
        <w:jc w:val="both"/>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-Внесены дополнения в раздел </w:t>
      </w:r>
      <w:r w:rsidRPr="00876945">
        <w:rPr>
          <w:rFonts w:ascii="Times New Roman" w:eastAsia="Times New Roman" w:hAnsi="Times New Roman" w:cs="Times New Roman"/>
          <w:sz w:val="24"/>
          <w:lang w:eastAsia="ru-RU" w:bidi="ru-RU"/>
        </w:rPr>
        <w:t>6.1. «Административные операции»</w:t>
      </w:r>
      <w:r>
        <w:rPr>
          <w:rFonts w:ascii="Times New Roman" w:eastAsia="Times New Roman" w:hAnsi="Times New Roman" w:cs="Times New Roman"/>
          <w:sz w:val="24"/>
          <w:lang w:eastAsia="ru-RU" w:bidi="ru-RU"/>
        </w:rPr>
        <w:t xml:space="preserve"> определяющие особенности подписания Депонентом доверенности на попечителя счета депо и основания отмены полномочий попечителя счета депо.</w:t>
      </w:r>
    </w:p>
    <w:p w:rsidR="00175E47" w:rsidRDefault="00175E47" w:rsidP="00876945">
      <w:pPr>
        <w:spacing w:after="0" w:line="240" w:lineRule="auto"/>
        <w:ind w:left="1368"/>
        <w:jc w:val="both"/>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-Внесены дополнения в раздел </w:t>
      </w:r>
      <w:r w:rsidRPr="00175E47">
        <w:rPr>
          <w:rFonts w:ascii="Times New Roman" w:eastAsia="Times New Roman" w:hAnsi="Times New Roman" w:cs="Times New Roman"/>
          <w:sz w:val="24"/>
          <w:lang w:eastAsia="ru-RU" w:bidi="ru-RU"/>
        </w:rPr>
        <w:t>6.2. «Инвентарные операции»</w:t>
      </w:r>
      <w:r>
        <w:rPr>
          <w:rFonts w:ascii="Times New Roman" w:eastAsia="Times New Roman" w:hAnsi="Times New Roman" w:cs="Times New Roman"/>
          <w:sz w:val="24"/>
          <w:lang w:eastAsia="ru-RU" w:bidi="ru-RU"/>
        </w:rPr>
        <w:t xml:space="preserve"> ценные бумаги на счете неустановленных лиц учитываются не более одного месяца.</w:t>
      </w:r>
    </w:p>
    <w:p w:rsidR="00175E47" w:rsidRDefault="00175E47" w:rsidP="00876945">
      <w:pPr>
        <w:spacing w:after="0" w:line="240" w:lineRule="auto"/>
        <w:ind w:left="1368"/>
        <w:jc w:val="both"/>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-Внесены дополнения в раздел </w:t>
      </w:r>
      <w:r w:rsidRPr="00175E47">
        <w:rPr>
          <w:rFonts w:ascii="Times New Roman" w:eastAsia="Times New Roman" w:hAnsi="Times New Roman" w:cs="Times New Roman"/>
          <w:sz w:val="24"/>
          <w:lang w:eastAsia="ru-RU" w:bidi="ru-RU"/>
        </w:rPr>
        <w:t>8.1. «Порядок и сроки передачи Депонентам (Депозитариям – Депонентам) доходов по ценным бумагам и иных причитающихся владельцам ценных бумаг денежных выплат»</w:t>
      </w:r>
      <w:r>
        <w:rPr>
          <w:rFonts w:ascii="Times New Roman" w:eastAsia="Times New Roman" w:hAnsi="Times New Roman" w:cs="Times New Roman"/>
          <w:sz w:val="24"/>
          <w:lang w:eastAsia="ru-RU" w:bidi="ru-RU"/>
        </w:rPr>
        <w:t xml:space="preserve"> определяющие порядок передачи Депонентам доходов при обслуживании ИИС.</w:t>
      </w:r>
    </w:p>
    <w:p w:rsidR="00175E47" w:rsidRPr="00461E9D" w:rsidRDefault="00175E47" w:rsidP="00876945">
      <w:pPr>
        <w:spacing w:after="0" w:line="240" w:lineRule="auto"/>
        <w:ind w:left="136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bidi="ru-RU"/>
        </w:rPr>
        <w:t xml:space="preserve">-Приложение № 18 Поручение на прием/снятие ценных бумаг дополнено согласием на передачу данных в принимающий депозитарий в целях исполнения </w:t>
      </w:r>
      <w:r w:rsidRPr="00175E47">
        <w:rPr>
          <w:rFonts w:ascii="Times New Roman" w:eastAsia="Times New Roman" w:hAnsi="Times New Roman" w:cs="Times New Roman"/>
          <w:sz w:val="24"/>
          <w:lang w:eastAsia="ru-RU" w:bidi="ru-RU"/>
        </w:rPr>
        <w:t>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w:t>
      </w:r>
      <w:bookmarkStart w:id="0" w:name="_GoBack"/>
      <w:bookmarkEnd w:id="0"/>
    </w:p>
    <w:p w:rsidR="00461E9D" w:rsidRPr="00461E9D" w:rsidRDefault="00461E9D" w:rsidP="00461E9D">
      <w:pPr>
        <w:spacing w:after="0" w:line="240" w:lineRule="auto"/>
        <w:ind w:left="1368"/>
        <w:jc w:val="both"/>
        <w:rPr>
          <w:rFonts w:ascii="Times New Roman" w:eastAsia="Times New Roman" w:hAnsi="Times New Roman" w:cs="Times New Roman"/>
          <w:sz w:val="24"/>
          <w:lang w:eastAsia="ru-RU"/>
        </w:rPr>
      </w:pPr>
    </w:p>
    <w:p w:rsidR="0044635A" w:rsidRPr="004C7C03" w:rsidRDefault="009268E7" w:rsidP="0044635A">
      <w:pPr>
        <w:numPr>
          <w:ilvl w:val="0"/>
          <w:numId w:val="1"/>
        </w:numPr>
        <w:spacing w:after="60" w:line="240" w:lineRule="auto"/>
        <w:ind w:left="851" w:hanging="284"/>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w:t>
      </w:r>
      <w:r w:rsidR="0044635A" w:rsidRPr="004C7C03">
        <w:rPr>
          <w:rFonts w:ascii="Times New Roman" w:eastAsia="Times New Roman" w:hAnsi="Times New Roman" w:cs="Times New Roman"/>
          <w:sz w:val="24"/>
          <w:lang w:eastAsia="ru-RU"/>
        </w:rPr>
        <w:t>несены технические и редакционные правки</w:t>
      </w:r>
      <w:r w:rsidR="0044635A">
        <w:rPr>
          <w:rFonts w:ascii="Times New Roman" w:eastAsia="Times New Roman" w:hAnsi="Times New Roman" w:cs="Times New Roman"/>
          <w:sz w:val="24"/>
          <w:lang w:eastAsia="ru-RU"/>
        </w:rPr>
        <w:t xml:space="preserve"> по тексту </w:t>
      </w:r>
      <w:r w:rsidR="00E31328">
        <w:rPr>
          <w:rFonts w:ascii="Times New Roman" w:eastAsia="Times New Roman" w:hAnsi="Times New Roman" w:cs="Times New Roman"/>
          <w:sz w:val="24"/>
          <w:lang w:eastAsia="ru-RU"/>
        </w:rPr>
        <w:t>Условий</w:t>
      </w:r>
      <w:r w:rsidR="0044635A" w:rsidRPr="004C7C03">
        <w:rPr>
          <w:rFonts w:ascii="Times New Roman" w:eastAsia="Times New Roman" w:hAnsi="Times New Roman" w:cs="Times New Roman"/>
          <w:sz w:val="24"/>
          <w:lang w:eastAsia="ru-RU"/>
        </w:rPr>
        <w:t>.</w:t>
      </w:r>
    </w:p>
    <w:p w:rsidR="0044635A" w:rsidRDefault="008A3459" w:rsidP="0044635A">
      <w:pPr>
        <w:spacing w:before="120" w:after="120"/>
        <w:ind w:firstLine="709"/>
        <w:jc w:val="both"/>
      </w:pPr>
      <w:r>
        <w:rPr>
          <w:rFonts w:ascii="Times New Roman" w:eastAsia="Times New Roman" w:hAnsi="Times New Roman" w:cs="Times New Roman"/>
          <w:sz w:val="24"/>
          <w:lang w:eastAsia="ru-RU"/>
        </w:rPr>
        <w:t>Условия</w:t>
      </w:r>
      <w:r w:rsidR="0044635A" w:rsidRPr="004C7C03">
        <w:rPr>
          <w:rFonts w:ascii="Times New Roman" w:eastAsia="Times New Roman" w:hAnsi="Times New Roman" w:cs="Times New Roman"/>
          <w:sz w:val="24"/>
          <w:lang w:eastAsia="ru-RU"/>
        </w:rPr>
        <w:t xml:space="preserve"> размещены на сайте </w:t>
      </w:r>
      <w:r w:rsidR="00E31328">
        <w:rPr>
          <w:rFonts w:ascii="Times New Roman" w:eastAsia="Times New Roman" w:hAnsi="Times New Roman" w:cs="Times New Roman"/>
          <w:sz w:val="24"/>
          <w:lang w:eastAsia="ru-RU"/>
        </w:rPr>
        <w:t>ББР Банка (акционерное общество)</w:t>
      </w:r>
      <w:r w:rsidR="0044635A" w:rsidRPr="004C7C03">
        <w:rPr>
          <w:rFonts w:ascii="Times New Roman" w:eastAsia="Times New Roman" w:hAnsi="Times New Roman" w:cs="Times New Roman"/>
          <w:sz w:val="24"/>
          <w:lang w:eastAsia="ru-RU"/>
        </w:rPr>
        <w:t xml:space="preserve"> в сети Интернет по адресу:</w:t>
      </w:r>
      <w:r w:rsidR="0044635A" w:rsidRPr="004C7C03">
        <w:rPr>
          <w:rFonts w:ascii="Times New Roman" w:eastAsia="Times New Roman" w:hAnsi="Times New Roman" w:cs="Times New Roman"/>
          <w:sz w:val="24"/>
          <w:lang w:eastAsia="ru-RU"/>
        </w:rPr>
        <w:br/>
      </w:r>
      <w:hyperlink r:id="rId7" w:history="1">
        <w:r w:rsidR="00E31328" w:rsidRPr="005006E1">
          <w:rPr>
            <w:rStyle w:val="a6"/>
            <w:rFonts w:ascii="Times New Roman" w:eastAsia="Calibri" w:hAnsi="Times New Roman" w:cs="Times New Roman"/>
            <w:bCs/>
            <w:sz w:val="24"/>
            <w:lang w:val="en-US"/>
          </w:rPr>
          <w:t>www</w:t>
        </w:r>
        <w:r w:rsidR="00E31328" w:rsidRPr="005006E1">
          <w:rPr>
            <w:rStyle w:val="a6"/>
            <w:rFonts w:ascii="Times New Roman" w:eastAsia="Calibri" w:hAnsi="Times New Roman" w:cs="Times New Roman"/>
            <w:bCs/>
            <w:sz w:val="24"/>
          </w:rPr>
          <w:t>.</w:t>
        </w:r>
        <w:r w:rsidR="00E31328" w:rsidRPr="005006E1">
          <w:rPr>
            <w:rStyle w:val="a6"/>
            <w:rFonts w:ascii="Times New Roman" w:eastAsia="Calibri" w:hAnsi="Times New Roman" w:cs="Times New Roman"/>
            <w:bCs/>
            <w:sz w:val="24"/>
            <w:lang w:val="en-US"/>
          </w:rPr>
          <w:t>bbr</w:t>
        </w:r>
        <w:r w:rsidR="00E31328" w:rsidRPr="005006E1">
          <w:rPr>
            <w:rStyle w:val="a6"/>
            <w:rFonts w:ascii="Times New Roman" w:eastAsia="Calibri" w:hAnsi="Times New Roman" w:cs="Times New Roman"/>
            <w:bCs/>
            <w:sz w:val="24"/>
          </w:rPr>
          <w:t>.</w:t>
        </w:r>
        <w:r w:rsidR="00E31328" w:rsidRPr="005006E1">
          <w:rPr>
            <w:rStyle w:val="a6"/>
            <w:rFonts w:ascii="Times New Roman" w:eastAsia="Calibri" w:hAnsi="Times New Roman" w:cs="Times New Roman"/>
            <w:bCs/>
            <w:sz w:val="24"/>
            <w:lang w:val="en-US"/>
          </w:rPr>
          <w:t>ru</w:t>
        </w:r>
      </w:hyperlink>
      <w:r w:rsidR="0044635A" w:rsidRPr="004C7C03">
        <w:rPr>
          <w:rFonts w:ascii="Times New Roman" w:eastAsia="Calibri" w:hAnsi="Times New Roman" w:cs="Times New Roman"/>
          <w:sz w:val="24"/>
        </w:rPr>
        <w:t xml:space="preserve"> в разделе </w:t>
      </w:r>
      <w:hyperlink r:id="rId8" w:history="1">
        <w:r w:rsidRPr="00B6460D">
          <w:rPr>
            <w:rStyle w:val="a6"/>
          </w:rPr>
          <w:t>https://bbr.ru/investments/depository-service</w:t>
        </w:r>
      </w:hyperlink>
    </w:p>
    <w:p w:rsidR="008A3459" w:rsidRPr="004C7C03" w:rsidRDefault="008A3459" w:rsidP="0044635A">
      <w:pPr>
        <w:spacing w:before="120" w:after="120"/>
        <w:ind w:firstLine="709"/>
        <w:jc w:val="both"/>
        <w:rPr>
          <w:rFonts w:ascii="Times New Roman" w:eastAsia="Calibri" w:hAnsi="Times New Roman" w:cs="Times New Roman"/>
          <w:sz w:val="24"/>
        </w:rPr>
      </w:pPr>
    </w:p>
    <w:p w:rsidR="00D40C60" w:rsidRDefault="00D40C60"/>
    <w:sectPr w:rsidR="00D40C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CE" w:rsidRDefault="000502CE" w:rsidP="0044635A">
      <w:pPr>
        <w:spacing w:after="0" w:line="240" w:lineRule="auto"/>
      </w:pPr>
      <w:r>
        <w:separator/>
      </w:r>
    </w:p>
  </w:endnote>
  <w:endnote w:type="continuationSeparator" w:id="0">
    <w:p w:rsidR="000502CE" w:rsidRDefault="000502CE" w:rsidP="0044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CE" w:rsidRDefault="000502CE" w:rsidP="0044635A">
      <w:pPr>
        <w:spacing w:after="0" w:line="240" w:lineRule="auto"/>
      </w:pPr>
      <w:r>
        <w:separator/>
      </w:r>
    </w:p>
  </w:footnote>
  <w:footnote w:type="continuationSeparator" w:id="0">
    <w:p w:rsidR="000502CE" w:rsidRDefault="000502CE" w:rsidP="0044635A">
      <w:pPr>
        <w:spacing w:after="0" w:line="240" w:lineRule="auto"/>
      </w:pPr>
      <w:r>
        <w:continuationSeparator/>
      </w:r>
    </w:p>
  </w:footnote>
  <w:footnote w:id="1">
    <w:p w:rsidR="0044635A" w:rsidRPr="00BB14B0" w:rsidRDefault="0044635A" w:rsidP="0044635A">
      <w:pPr>
        <w:pStyle w:val="a3"/>
        <w:jc w:val="both"/>
        <w:rPr>
          <w:rFonts w:ascii="Times New Roman" w:hAnsi="Times New Roman"/>
        </w:rPr>
      </w:pPr>
      <w:r w:rsidRPr="00BB14B0">
        <w:rPr>
          <w:rStyle w:val="a5"/>
          <w:rFonts w:ascii="Times New Roman" w:hAnsi="Times New Roman"/>
        </w:rPr>
        <w:footnoteRef/>
      </w:r>
      <w:r w:rsidRPr="00BB14B0">
        <w:rPr>
          <w:rFonts w:ascii="Times New Roman" w:hAnsi="Times New Roman"/>
        </w:rPr>
        <w:t xml:space="preserve"> Термины используются в значениях, установленных </w:t>
      </w:r>
      <w:r w:rsidR="00E31328">
        <w:rPr>
          <w:rFonts w:ascii="Times New Roman" w:hAnsi="Times New Roman"/>
        </w:rPr>
        <w:t xml:space="preserve">Условиями </w:t>
      </w:r>
      <w:r w:rsidR="00E31328" w:rsidRPr="00E31328">
        <w:rPr>
          <w:rFonts w:ascii="Times New Roman" w:hAnsi="Times New Roman"/>
        </w:rPr>
        <w:t>осуществления депозитарной деятельности (Клиентский регламент) ББР Банк (акционерное общество</w:t>
      </w:r>
      <w:r w:rsidR="00E31328">
        <w:rPr>
          <w:rFonts w:ascii="Times New Roman" w:hAnsi="Times New Roman"/>
        </w:rPr>
        <w:t>)</w:t>
      </w:r>
      <w:r w:rsidRPr="00BB14B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150"/>
    <w:multiLevelType w:val="hybridMultilevel"/>
    <w:tmpl w:val="41387434"/>
    <w:lvl w:ilvl="0" w:tplc="04190001">
      <w:start w:val="1"/>
      <w:numFmt w:val="bullet"/>
      <w:lvlText w:val=""/>
      <w:lvlJc w:val="left"/>
      <w:pPr>
        <w:ind w:left="1368" w:hanging="360"/>
      </w:pPr>
      <w:rPr>
        <w:rFonts w:ascii="Symbol" w:hAnsi="Symbol"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1" w15:restartNumberingAfterBreak="0">
    <w:nsid w:val="1B3A292B"/>
    <w:multiLevelType w:val="hybridMultilevel"/>
    <w:tmpl w:val="100C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5A"/>
    <w:rsid w:val="00015EFA"/>
    <w:rsid w:val="00024D27"/>
    <w:rsid w:val="000502CE"/>
    <w:rsid w:val="000E32CF"/>
    <w:rsid w:val="00175E47"/>
    <w:rsid w:val="001A1217"/>
    <w:rsid w:val="002C28B0"/>
    <w:rsid w:val="003B4F95"/>
    <w:rsid w:val="0044635A"/>
    <w:rsid w:val="00461E9D"/>
    <w:rsid w:val="00585D4C"/>
    <w:rsid w:val="00690607"/>
    <w:rsid w:val="0069601B"/>
    <w:rsid w:val="006D4CC8"/>
    <w:rsid w:val="00731365"/>
    <w:rsid w:val="0076282E"/>
    <w:rsid w:val="007A0B06"/>
    <w:rsid w:val="0085722B"/>
    <w:rsid w:val="00876945"/>
    <w:rsid w:val="008A3459"/>
    <w:rsid w:val="008E1D26"/>
    <w:rsid w:val="008F7BB3"/>
    <w:rsid w:val="009268E7"/>
    <w:rsid w:val="009301CD"/>
    <w:rsid w:val="00BD4F2A"/>
    <w:rsid w:val="00C15F5C"/>
    <w:rsid w:val="00C53301"/>
    <w:rsid w:val="00D15477"/>
    <w:rsid w:val="00D40C60"/>
    <w:rsid w:val="00D53DC0"/>
    <w:rsid w:val="00E31328"/>
    <w:rsid w:val="00E61134"/>
    <w:rsid w:val="00FC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63D7"/>
  <w15:chartTrackingRefBased/>
  <w15:docId w15:val="{DF478AB4-CF7B-4355-A3A2-F7C8A2EB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4635A"/>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35A"/>
    <w:rPr>
      <w:rFonts w:ascii="Times New Roman" w:eastAsia="Times New Roman" w:hAnsi="Times New Roman" w:cs="Times New Roman"/>
      <w:b/>
      <w:sz w:val="24"/>
      <w:szCs w:val="20"/>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44635A"/>
    <w:pPr>
      <w:spacing w:after="0" w:line="240" w:lineRule="auto"/>
    </w:pPr>
    <w:rPr>
      <w:rFonts w:ascii="Calibri" w:eastAsia="Calibri" w:hAnsi="Calibri" w:cs="Times New Roman"/>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44635A"/>
    <w:rPr>
      <w:rFonts w:ascii="Calibri" w:eastAsia="Calibri" w:hAnsi="Calibri" w:cs="Times New Roman"/>
      <w:sz w:val="20"/>
      <w:szCs w:val="20"/>
    </w:rPr>
  </w:style>
  <w:style w:type="character" w:styleId="a5">
    <w:name w:val="footnote reference"/>
    <w:aliases w:val="Style 49,fr,o,Style 18,EY Footnote Reference,fr + (Latin) Arial,(Asian) Arial,Black,Black + (Latin) Arial,Footnote Reference new,Footnote EY Interstate,Footnote Arial 8 single space,Footnote Referece,Footnote EYI,fr1,fr2,fr3"/>
    <w:uiPriority w:val="99"/>
    <w:unhideWhenUsed/>
    <w:qFormat/>
    <w:rsid w:val="0044635A"/>
    <w:rPr>
      <w:vertAlign w:val="superscript"/>
    </w:rPr>
  </w:style>
  <w:style w:type="character" w:styleId="a6">
    <w:name w:val="Hyperlink"/>
    <w:basedOn w:val="a0"/>
    <w:uiPriority w:val="99"/>
    <w:unhideWhenUsed/>
    <w:rsid w:val="00E31328"/>
    <w:rPr>
      <w:color w:val="0563C1" w:themeColor="hyperlink"/>
      <w:u w:val="single"/>
    </w:rPr>
  </w:style>
  <w:style w:type="paragraph" w:styleId="a7">
    <w:name w:val="List Paragraph"/>
    <w:basedOn w:val="a"/>
    <w:uiPriority w:val="34"/>
    <w:qFormat/>
    <w:rsid w:val="004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r.ru/investments/depository-service" TargetMode="External"/><Relationship Id="rId3" Type="http://schemas.openxmlformats.org/officeDocument/2006/relationships/settings" Target="settings.xml"/><Relationship Id="rId7" Type="http://schemas.openxmlformats.org/officeDocument/2006/relationships/hyperlink" Target="http://www.b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Фатхуллина Светлана Владимировна</dc:creator>
  <cp:keywords/>
  <dc:description/>
  <cp:lastModifiedBy>Тимонина Марина Алексеевна</cp:lastModifiedBy>
  <cp:revision>6</cp:revision>
  <cp:lastPrinted>2024-07-24T09:12:00Z</cp:lastPrinted>
  <dcterms:created xsi:type="dcterms:W3CDTF">2024-07-17T08:24:00Z</dcterms:created>
  <dcterms:modified xsi:type="dcterms:W3CDTF">2025-12-23T09:10:00Z</dcterms:modified>
</cp:coreProperties>
</file>