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C8" w:rsidRDefault="00150BC8" w:rsidP="00C84505">
      <w:pPr>
        <w:jc w:val="right"/>
        <w:rPr>
          <w:rFonts w:ascii="Arial" w:hAnsi="Arial" w:cs="Arial"/>
          <w:b/>
          <w:sz w:val="20"/>
          <w:szCs w:val="20"/>
        </w:rPr>
      </w:pPr>
    </w:p>
    <w:p w:rsidR="004F2ACB" w:rsidRPr="004F2ACB" w:rsidRDefault="004F2ACB" w:rsidP="004F2ACB">
      <w:pPr>
        <w:jc w:val="right"/>
        <w:rPr>
          <w:rFonts w:ascii="Arial" w:hAnsi="Arial" w:cs="Arial"/>
          <w:b/>
          <w:sz w:val="20"/>
          <w:szCs w:val="20"/>
        </w:rPr>
      </w:pPr>
      <w:r w:rsidRPr="004F2ACB">
        <w:rPr>
          <w:rFonts w:ascii="Arial" w:hAnsi="Arial" w:cs="Arial"/>
          <w:b/>
          <w:sz w:val="20"/>
          <w:szCs w:val="20"/>
        </w:rPr>
        <w:t>Утверждены Протоколом Правления</w:t>
      </w:r>
    </w:p>
    <w:p w:rsidR="004F2ACB" w:rsidRPr="004F2ACB" w:rsidRDefault="004F2ACB" w:rsidP="004F2ACB">
      <w:pPr>
        <w:jc w:val="right"/>
        <w:rPr>
          <w:rFonts w:ascii="Arial" w:hAnsi="Arial" w:cs="Arial"/>
          <w:b/>
          <w:sz w:val="20"/>
          <w:szCs w:val="20"/>
        </w:rPr>
      </w:pPr>
      <w:r w:rsidRPr="004F2ACB">
        <w:rPr>
          <w:rFonts w:ascii="Arial" w:hAnsi="Arial" w:cs="Arial"/>
          <w:b/>
          <w:sz w:val="20"/>
          <w:szCs w:val="20"/>
        </w:rPr>
        <w:t>ББР Банк (АО)</w:t>
      </w:r>
    </w:p>
    <w:p w:rsidR="004F2ACB" w:rsidRPr="004F2ACB" w:rsidRDefault="004F2ACB" w:rsidP="004F2ACB">
      <w:pPr>
        <w:jc w:val="right"/>
        <w:rPr>
          <w:rFonts w:ascii="Arial" w:hAnsi="Arial" w:cs="Arial"/>
          <w:b/>
          <w:sz w:val="20"/>
          <w:szCs w:val="20"/>
        </w:rPr>
      </w:pPr>
      <w:r w:rsidRPr="004F2ACB">
        <w:rPr>
          <w:rFonts w:ascii="Arial" w:hAnsi="Arial" w:cs="Arial"/>
          <w:b/>
          <w:sz w:val="20"/>
          <w:szCs w:val="20"/>
        </w:rPr>
        <w:t>№</w:t>
      </w:r>
      <w:r w:rsidR="004711E0">
        <w:rPr>
          <w:rFonts w:ascii="Arial" w:hAnsi="Arial" w:cs="Arial"/>
          <w:b/>
          <w:sz w:val="20"/>
          <w:szCs w:val="20"/>
        </w:rPr>
        <w:t xml:space="preserve"> 47</w:t>
      </w:r>
      <w:r w:rsidRPr="004F2ACB">
        <w:rPr>
          <w:rFonts w:ascii="Arial" w:hAnsi="Arial" w:cs="Arial"/>
          <w:b/>
          <w:sz w:val="20"/>
          <w:szCs w:val="20"/>
        </w:rPr>
        <w:t xml:space="preserve"> от «</w:t>
      </w:r>
      <w:r w:rsidR="004711E0">
        <w:rPr>
          <w:rFonts w:ascii="Arial" w:hAnsi="Arial" w:cs="Arial"/>
          <w:b/>
          <w:sz w:val="20"/>
          <w:szCs w:val="20"/>
        </w:rPr>
        <w:t>11</w:t>
      </w:r>
      <w:r w:rsidRPr="004F2ACB">
        <w:rPr>
          <w:rFonts w:ascii="Arial" w:hAnsi="Arial" w:cs="Arial"/>
          <w:b/>
          <w:sz w:val="20"/>
          <w:szCs w:val="20"/>
        </w:rPr>
        <w:t>» апреля 2024 года</w:t>
      </w:r>
    </w:p>
    <w:p w:rsidR="004F2ACB" w:rsidRPr="004F2ACB" w:rsidRDefault="004F2ACB" w:rsidP="004F2ACB">
      <w:pPr>
        <w:jc w:val="right"/>
        <w:rPr>
          <w:rFonts w:ascii="Arial" w:hAnsi="Arial" w:cs="Arial"/>
          <w:b/>
          <w:sz w:val="20"/>
          <w:szCs w:val="20"/>
        </w:rPr>
      </w:pPr>
    </w:p>
    <w:p w:rsidR="00C84505" w:rsidRPr="004F2ACB" w:rsidRDefault="004F2ACB" w:rsidP="004F2ACB">
      <w:pPr>
        <w:tabs>
          <w:tab w:val="left" w:pos="531"/>
          <w:tab w:val="left" w:pos="5315"/>
        </w:tabs>
        <w:ind w:left="-5"/>
        <w:jc w:val="right"/>
        <w:rPr>
          <w:rFonts w:ascii="Arial" w:hAnsi="Arial" w:cs="Arial"/>
          <w:b/>
          <w:sz w:val="20"/>
          <w:szCs w:val="20"/>
        </w:rPr>
      </w:pPr>
      <w:r w:rsidRPr="004F2ACB">
        <w:rPr>
          <w:rFonts w:ascii="Arial" w:hAnsi="Arial" w:cs="Arial"/>
          <w:b/>
          <w:sz w:val="20"/>
          <w:szCs w:val="20"/>
        </w:rPr>
        <w:t>Вступа</w:t>
      </w:r>
      <w:r w:rsidR="00765328">
        <w:rPr>
          <w:rFonts w:ascii="Arial" w:hAnsi="Arial" w:cs="Arial"/>
          <w:b/>
          <w:sz w:val="20"/>
          <w:szCs w:val="20"/>
        </w:rPr>
        <w:t>ю</w:t>
      </w:r>
      <w:r w:rsidRPr="004F2ACB">
        <w:rPr>
          <w:rFonts w:ascii="Arial" w:hAnsi="Arial" w:cs="Arial"/>
          <w:b/>
          <w:sz w:val="20"/>
          <w:szCs w:val="20"/>
        </w:rPr>
        <w:t xml:space="preserve">т в действие с </w:t>
      </w:r>
      <w:r w:rsidR="004711E0">
        <w:rPr>
          <w:rFonts w:ascii="Arial" w:hAnsi="Arial" w:cs="Arial"/>
          <w:b/>
          <w:sz w:val="20"/>
          <w:szCs w:val="20"/>
        </w:rPr>
        <w:t>«</w:t>
      </w:r>
      <w:r w:rsidRPr="004F2ACB">
        <w:rPr>
          <w:rFonts w:ascii="Arial" w:hAnsi="Arial" w:cs="Arial"/>
          <w:b/>
          <w:sz w:val="20"/>
          <w:szCs w:val="20"/>
        </w:rPr>
        <w:t>01</w:t>
      </w:r>
      <w:r w:rsidR="004711E0">
        <w:rPr>
          <w:rFonts w:ascii="Arial" w:hAnsi="Arial" w:cs="Arial"/>
          <w:b/>
          <w:sz w:val="20"/>
          <w:szCs w:val="20"/>
        </w:rPr>
        <w:t xml:space="preserve">» </w:t>
      </w:r>
      <w:r w:rsidR="00A30E6C">
        <w:rPr>
          <w:rFonts w:ascii="Arial" w:hAnsi="Arial" w:cs="Arial"/>
          <w:b/>
          <w:sz w:val="20"/>
          <w:szCs w:val="20"/>
        </w:rPr>
        <w:t xml:space="preserve">мая </w:t>
      </w:r>
      <w:r w:rsidRPr="004F2ACB">
        <w:rPr>
          <w:rFonts w:ascii="Arial" w:hAnsi="Arial" w:cs="Arial"/>
          <w:b/>
          <w:sz w:val="20"/>
          <w:szCs w:val="20"/>
        </w:rPr>
        <w:t>202</w:t>
      </w:r>
      <w:r>
        <w:rPr>
          <w:rFonts w:ascii="Arial" w:hAnsi="Arial" w:cs="Arial"/>
          <w:b/>
          <w:sz w:val="20"/>
          <w:szCs w:val="20"/>
        </w:rPr>
        <w:t>4</w:t>
      </w:r>
    </w:p>
    <w:p w:rsidR="00C84505" w:rsidRPr="004F2ACB" w:rsidRDefault="00C84505" w:rsidP="00C84505">
      <w:pPr>
        <w:jc w:val="right"/>
        <w:rPr>
          <w:rFonts w:ascii="Arial" w:hAnsi="Arial" w:cs="Arial"/>
          <w:b/>
          <w:sz w:val="20"/>
          <w:szCs w:val="20"/>
        </w:rPr>
      </w:pPr>
      <w:r w:rsidRPr="004F2ACB">
        <w:rPr>
          <w:rFonts w:ascii="Arial" w:hAnsi="Arial" w:cs="Arial"/>
          <w:b/>
          <w:sz w:val="20"/>
          <w:szCs w:val="20"/>
        </w:rPr>
        <w:t>Приказом Председателя Правления</w:t>
      </w:r>
    </w:p>
    <w:p w:rsidR="00C84505" w:rsidRPr="004F2ACB" w:rsidRDefault="00C84505" w:rsidP="00C84505">
      <w:pPr>
        <w:jc w:val="right"/>
        <w:rPr>
          <w:rFonts w:ascii="Arial" w:hAnsi="Arial" w:cs="Arial"/>
          <w:b/>
          <w:sz w:val="20"/>
          <w:szCs w:val="20"/>
        </w:rPr>
      </w:pPr>
      <w:r w:rsidRPr="004F2ACB">
        <w:rPr>
          <w:rFonts w:ascii="Arial" w:hAnsi="Arial" w:cs="Arial"/>
          <w:b/>
          <w:sz w:val="20"/>
          <w:szCs w:val="20"/>
        </w:rPr>
        <w:t>ББР Банк (АО)</w:t>
      </w:r>
    </w:p>
    <w:p w:rsidR="000F2C31" w:rsidRPr="004F2ACB" w:rsidRDefault="000F2C31" w:rsidP="000F2C31">
      <w:pPr>
        <w:jc w:val="right"/>
        <w:rPr>
          <w:rFonts w:ascii="Arial" w:hAnsi="Arial" w:cs="Arial"/>
          <w:b/>
          <w:sz w:val="20"/>
          <w:szCs w:val="20"/>
        </w:rPr>
      </w:pPr>
      <w:r w:rsidRPr="004F2ACB">
        <w:rPr>
          <w:rFonts w:ascii="Arial" w:hAnsi="Arial" w:cs="Arial"/>
          <w:b/>
          <w:sz w:val="20"/>
          <w:szCs w:val="20"/>
        </w:rPr>
        <w:t xml:space="preserve">№ </w:t>
      </w:r>
      <w:r w:rsidR="009A4915">
        <w:rPr>
          <w:rFonts w:ascii="Arial" w:hAnsi="Arial" w:cs="Arial"/>
          <w:b/>
          <w:sz w:val="20"/>
          <w:szCs w:val="20"/>
        </w:rPr>
        <w:t>494</w:t>
      </w:r>
      <w:r w:rsidRPr="004F2ACB">
        <w:rPr>
          <w:rFonts w:ascii="Arial" w:hAnsi="Arial" w:cs="Arial"/>
          <w:b/>
          <w:sz w:val="20"/>
          <w:szCs w:val="20"/>
        </w:rPr>
        <w:t xml:space="preserve"> от «</w:t>
      </w:r>
      <w:r w:rsidR="009A4915">
        <w:rPr>
          <w:rFonts w:ascii="Arial" w:hAnsi="Arial" w:cs="Arial"/>
          <w:b/>
          <w:sz w:val="20"/>
          <w:szCs w:val="20"/>
        </w:rPr>
        <w:t>12</w:t>
      </w:r>
      <w:r w:rsidRPr="004F2ACB">
        <w:rPr>
          <w:rFonts w:ascii="Arial" w:hAnsi="Arial" w:cs="Arial"/>
          <w:b/>
          <w:sz w:val="20"/>
          <w:szCs w:val="20"/>
        </w:rPr>
        <w:t>» апреля 2024 года</w:t>
      </w:r>
    </w:p>
    <w:p w:rsidR="00C84505" w:rsidRPr="00150BC8" w:rsidRDefault="00C84505" w:rsidP="00C84505">
      <w:pPr>
        <w:jc w:val="center"/>
        <w:rPr>
          <w:rFonts w:ascii="Arial" w:hAnsi="Arial" w:cs="Arial"/>
          <w:b/>
          <w:sz w:val="20"/>
          <w:szCs w:val="20"/>
        </w:rPr>
      </w:pPr>
    </w:p>
    <w:p w:rsidR="00150BC8" w:rsidRDefault="00150BC8" w:rsidP="00C84505">
      <w:pPr>
        <w:pStyle w:val="20"/>
        <w:spacing w:after="0"/>
        <w:jc w:val="center"/>
        <w:rPr>
          <w:rStyle w:val="2"/>
          <w:b/>
          <w:bCs/>
          <w:sz w:val="24"/>
          <w:szCs w:val="24"/>
        </w:rPr>
      </w:pPr>
    </w:p>
    <w:p w:rsidR="00150BC8" w:rsidRDefault="00C84505" w:rsidP="00C84505">
      <w:pPr>
        <w:pStyle w:val="20"/>
        <w:spacing w:after="0"/>
        <w:jc w:val="center"/>
        <w:rPr>
          <w:sz w:val="24"/>
          <w:szCs w:val="24"/>
        </w:rPr>
      </w:pPr>
      <w:r w:rsidRPr="00C84505">
        <w:rPr>
          <w:rStyle w:val="2"/>
          <w:b/>
          <w:bCs/>
          <w:sz w:val="24"/>
          <w:szCs w:val="24"/>
        </w:rPr>
        <w:t xml:space="preserve">Лист изменений в </w:t>
      </w:r>
      <w:r w:rsidR="004479F1">
        <w:rPr>
          <w:rStyle w:val="2"/>
          <w:b/>
          <w:bCs/>
          <w:sz w:val="24"/>
          <w:szCs w:val="24"/>
        </w:rPr>
        <w:t>Тарифы Депозитария ББР Банка (АО) за оказание депозитарных услуг</w:t>
      </w:r>
      <w:r w:rsidRPr="00C84505">
        <w:rPr>
          <w:rStyle w:val="2"/>
          <w:bCs/>
          <w:sz w:val="24"/>
          <w:szCs w:val="24"/>
        </w:rPr>
        <w:t>,</w:t>
      </w:r>
      <w:r w:rsidRPr="00C84505">
        <w:rPr>
          <w:sz w:val="24"/>
          <w:szCs w:val="24"/>
        </w:rPr>
        <w:t xml:space="preserve"> утвержденны</w:t>
      </w:r>
      <w:r w:rsidR="005E2C1A">
        <w:rPr>
          <w:sz w:val="24"/>
          <w:szCs w:val="24"/>
        </w:rPr>
        <w:t>е</w:t>
      </w:r>
      <w:r w:rsidR="00AD12F1">
        <w:rPr>
          <w:sz w:val="24"/>
          <w:szCs w:val="24"/>
        </w:rPr>
        <w:t xml:space="preserve"> Протоколом Правления ББР Банк (АО) № </w:t>
      </w:r>
      <w:r w:rsidR="009B2B9C">
        <w:rPr>
          <w:sz w:val="24"/>
          <w:szCs w:val="24"/>
        </w:rPr>
        <w:t>47</w:t>
      </w:r>
      <w:r w:rsidR="00AD12F1">
        <w:rPr>
          <w:sz w:val="24"/>
          <w:szCs w:val="24"/>
        </w:rPr>
        <w:t xml:space="preserve"> от</w:t>
      </w:r>
      <w:bookmarkStart w:id="0" w:name="_GoBack"/>
      <w:bookmarkEnd w:id="0"/>
      <w:r w:rsidR="00AD12F1">
        <w:rPr>
          <w:sz w:val="24"/>
          <w:szCs w:val="24"/>
        </w:rPr>
        <w:t xml:space="preserve"> </w:t>
      </w:r>
      <w:r w:rsidR="009B2B9C">
        <w:rPr>
          <w:sz w:val="24"/>
          <w:szCs w:val="24"/>
        </w:rPr>
        <w:t>11.</w:t>
      </w:r>
      <w:r w:rsidR="00AD12F1">
        <w:rPr>
          <w:sz w:val="24"/>
          <w:szCs w:val="24"/>
        </w:rPr>
        <w:t xml:space="preserve">04.2024 </w:t>
      </w:r>
      <w:r w:rsidRPr="00C84505">
        <w:rPr>
          <w:sz w:val="24"/>
          <w:szCs w:val="24"/>
        </w:rPr>
        <w:t>и введенны</w:t>
      </w:r>
      <w:r w:rsidR="005E2C1A">
        <w:rPr>
          <w:sz w:val="24"/>
          <w:szCs w:val="24"/>
        </w:rPr>
        <w:t>е</w:t>
      </w:r>
      <w:r w:rsidRPr="00C84505">
        <w:rPr>
          <w:sz w:val="24"/>
          <w:szCs w:val="24"/>
        </w:rPr>
        <w:t xml:space="preserve"> в действие Приказом </w:t>
      </w:r>
      <w:r w:rsidR="006F0502">
        <w:rPr>
          <w:sz w:val="24"/>
          <w:szCs w:val="24"/>
        </w:rPr>
        <w:t xml:space="preserve">Председателя Правления ББР Банк (АО) </w:t>
      </w:r>
      <w:r w:rsidRPr="00C84505">
        <w:rPr>
          <w:sz w:val="24"/>
          <w:szCs w:val="24"/>
        </w:rPr>
        <w:t xml:space="preserve">от </w:t>
      </w:r>
      <w:r w:rsidR="00D86277">
        <w:rPr>
          <w:sz w:val="24"/>
          <w:szCs w:val="24"/>
        </w:rPr>
        <w:t>12</w:t>
      </w:r>
      <w:r w:rsidRPr="00C84505">
        <w:rPr>
          <w:sz w:val="24"/>
          <w:szCs w:val="24"/>
        </w:rPr>
        <w:t>.0</w:t>
      </w:r>
      <w:r w:rsidR="00AD12F1">
        <w:rPr>
          <w:sz w:val="24"/>
          <w:szCs w:val="24"/>
        </w:rPr>
        <w:t>4</w:t>
      </w:r>
      <w:r w:rsidRPr="00C84505">
        <w:rPr>
          <w:sz w:val="24"/>
          <w:szCs w:val="24"/>
        </w:rPr>
        <w:t>.202</w:t>
      </w:r>
      <w:r w:rsidR="00AD12F1">
        <w:rPr>
          <w:sz w:val="24"/>
          <w:szCs w:val="24"/>
        </w:rPr>
        <w:t>4</w:t>
      </w:r>
      <w:r w:rsidRPr="00C84505">
        <w:rPr>
          <w:sz w:val="24"/>
          <w:szCs w:val="24"/>
        </w:rPr>
        <w:t xml:space="preserve"> № </w:t>
      </w:r>
      <w:r w:rsidR="00D86277">
        <w:rPr>
          <w:sz w:val="24"/>
          <w:szCs w:val="24"/>
        </w:rPr>
        <w:t>494</w:t>
      </w:r>
    </w:p>
    <w:p w:rsidR="00150BC8" w:rsidRPr="00C84505" w:rsidRDefault="00150BC8" w:rsidP="00C84505">
      <w:pPr>
        <w:pStyle w:val="20"/>
        <w:spacing w:after="0"/>
        <w:jc w:val="center"/>
        <w:rPr>
          <w:rStyle w:val="2"/>
          <w:bCs/>
          <w:sz w:val="24"/>
          <w:szCs w:val="24"/>
        </w:rPr>
      </w:pPr>
    </w:p>
    <w:p w:rsidR="0083176B" w:rsidRPr="00D900E2" w:rsidRDefault="0083176B" w:rsidP="0083176B">
      <w:pPr>
        <w:autoSpaceDE w:val="0"/>
        <w:autoSpaceDN w:val="0"/>
        <w:adjustRightInd w:val="0"/>
        <w:rPr>
          <w:rFonts w:ascii="Arial" w:hAnsi="Arial" w:cs="Arial"/>
          <w:sz w:val="20"/>
          <w:szCs w:val="20"/>
        </w:rPr>
      </w:pPr>
    </w:p>
    <w:p w:rsidR="00077295" w:rsidRPr="00CF10C7" w:rsidRDefault="0083176B" w:rsidP="00895DAE">
      <w:pPr>
        <w:pStyle w:val="20"/>
        <w:spacing w:after="0"/>
        <w:ind w:firstLine="567"/>
        <w:jc w:val="both"/>
        <w:rPr>
          <w:b w:val="0"/>
          <w:sz w:val="20"/>
          <w:szCs w:val="20"/>
        </w:rPr>
      </w:pPr>
      <w:r w:rsidRPr="00CF10C7">
        <w:rPr>
          <w:rStyle w:val="a3"/>
          <w:b w:val="0"/>
          <w:sz w:val="20"/>
          <w:szCs w:val="20"/>
        </w:rPr>
        <w:t>1.</w:t>
      </w:r>
      <w:r w:rsidRPr="00CF10C7">
        <w:rPr>
          <w:rStyle w:val="a3"/>
          <w:sz w:val="20"/>
          <w:szCs w:val="20"/>
        </w:rPr>
        <w:t xml:space="preserve"> </w:t>
      </w:r>
      <w:r w:rsidR="00D900E2" w:rsidRPr="00CF10C7">
        <w:rPr>
          <w:rStyle w:val="a3"/>
          <w:b w:val="0"/>
          <w:sz w:val="20"/>
          <w:szCs w:val="20"/>
        </w:rPr>
        <w:t xml:space="preserve">Внести изменения </w:t>
      </w:r>
      <w:proofErr w:type="gramStart"/>
      <w:r w:rsidR="00D900E2" w:rsidRPr="00CF10C7">
        <w:rPr>
          <w:rStyle w:val="a3"/>
          <w:b w:val="0"/>
          <w:sz w:val="20"/>
          <w:szCs w:val="20"/>
        </w:rPr>
        <w:t xml:space="preserve">в </w:t>
      </w:r>
      <w:r w:rsidR="00077295" w:rsidRPr="00CF10C7">
        <w:rPr>
          <w:b w:val="0"/>
          <w:sz w:val="20"/>
          <w:szCs w:val="20"/>
        </w:rPr>
        <w:t xml:space="preserve"> п.</w:t>
      </w:r>
      <w:proofErr w:type="gramEnd"/>
      <w:r w:rsidR="00077295" w:rsidRPr="00CF10C7">
        <w:rPr>
          <w:b w:val="0"/>
          <w:sz w:val="20"/>
          <w:szCs w:val="20"/>
        </w:rPr>
        <w:t xml:space="preserve"> </w:t>
      </w:r>
      <w:r w:rsidR="00D900E2" w:rsidRPr="00CF10C7">
        <w:rPr>
          <w:b w:val="0"/>
          <w:sz w:val="20"/>
          <w:szCs w:val="20"/>
        </w:rPr>
        <w:t>8.3</w:t>
      </w:r>
      <w:r w:rsidR="00077295" w:rsidRPr="00CF10C7">
        <w:rPr>
          <w:b w:val="0"/>
          <w:sz w:val="20"/>
          <w:szCs w:val="20"/>
        </w:rPr>
        <w:t xml:space="preserve"> </w:t>
      </w:r>
      <w:r w:rsidR="00D900E2" w:rsidRPr="00CF10C7">
        <w:rPr>
          <w:b w:val="0"/>
          <w:sz w:val="20"/>
          <w:szCs w:val="20"/>
        </w:rPr>
        <w:t xml:space="preserve"> Тарифов Депозитария ББР Банка (АО) за оказание депозитарных услуг </w:t>
      </w:r>
      <w:r w:rsidR="00CF3D35" w:rsidRPr="00CF10C7">
        <w:rPr>
          <w:rStyle w:val="2"/>
          <w:bCs/>
          <w:sz w:val="20"/>
          <w:szCs w:val="20"/>
        </w:rPr>
        <w:t xml:space="preserve">(далее по тексту – </w:t>
      </w:r>
      <w:r w:rsidR="00D900E2" w:rsidRPr="00CF10C7">
        <w:rPr>
          <w:rStyle w:val="2"/>
          <w:bCs/>
          <w:sz w:val="20"/>
          <w:szCs w:val="20"/>
        </w:rPr>
        <w:t>Тарифы</w:t>
      </w:r>
      <w:r w:rsidR="00CF3D35" w:rsidRPr="00CF10C7">
        <w:rPr>
          <w:rStyle w:val="2"/>
          <w:bCs/>
          <w:sz w:val="20"/>
          <w:szCs w:val="20"/>
        </w:rPr>
        <w:t>)</w:t>
      </w:r>
      <w:r w:rsidR="00077295" w:rsidRPr="00CF10C7">
        <w:rPr>
          <w:b w:val="0"/>
          <w:sz w:val="20"/>
          <w:szCs w:val="20"/>
        </w:rPr>
        <w:t>, в следующей редакции:</w:t>
      </w:r>
    </w:p>
    <w:p w:rsidR="00D900E2" w:rsidRPr="00CF10C7" w:rsidRDefault="00D900E2" w:rsidP="00D900E2">
      <w:pPr>
        <w:ind w:firstLine="567"/>
        <w:jc w:val="both"/>
        <w:rPr>
          <w:rFonts w:ascii="Arial" w:hAnsi="Arial" w:cs="Arial"/>
          <w:sz w:val="20"/>
          <w:szCs w:val="20"/>
        </w:rPr>
      </w:pPr>
    </w:p>
    <w:p w:rsidR="00D900E2" w:rsidRPr="00CF10C7" w:rsidRDefault="00D900E2" w:rsidP="00D900E2">
      <w:pPr>
        <w:ind w:firstLine="567"/>
        <w:jc w:val="both"/>
        <w:rPr>
          <w:rFonts w:ascii="Arial" w:hAnsi="Arial" w:cs="Arial"/>
          <w:sz w:val="20"/>
          <w:szCs w:val="20"/>
        </w:rPr>
      </w:pPr>
      <w:r w:rsidRPr="00CF10C7">
        <w:rPr>
          <w:rFonts w:ascii="Arial" w:hAnsi="Arial" w:cs="Arial"/>
          <w:sz w:val="20"/>
          <w:szCs w:val="20"/>
        </w:rPr>
        <w:t>«Рыночная цена ценных бумаг определяется на основании данных, предоставленных организаторами торгов.</w:t>
      </w:r>
    </w:p>
    <w:p w:rsidR="00D900E2" w:rsidRPr="00CF10C7" w:rsidRDefault="00D900E2" w:rsidP="00D900E2">
      <w:pPr>
        <w:ind w:firstLine="567"/>
        <w:jc w:val="both"/>
        <w:rPr>
          <w:rFonts w:ascii="Arial" w:hAnsi="Arial" w:cs="Arial"/>
          <w:sz w:val="20"/>
          <w:szCs w:val="20"/>
        </w:rPr>
      </w:pPr>
      <w:r w:rsidRPr="00CF10C7">
        <w:rPr>
          <w:rFonts w:ascii="Arial" w:hAnsi="Arial" w:cs="Arial"/>
          <w:sz w:val="20"/>
          <w:szCs w:val="20"/>
        </w:rPr>
        <w:t>Для определения рыночной цены в первую очередь применяют опубликованные ценовые котировки торговых площадок (в порядке убывания приоритета):</w:t>
      </w:r>
    </w:p>
    <w:p w:rsidR="00D900E2" w:rsidRPr="00CF10C7" w:rsidRDefault="00D900E2" w:rsidP="00D900E2">
      <w:pPr>
        <w:ind w:firstLine="567"/>
        <w:jc w:val="both"/>
        <w:rPr>
          <w:rFonts w:ascii="Arial" w:hAnsi="Arial" w:cs="Arial"/>
          <w:sz w:val="20"/>
          <w:szCs w:val="20"/>
        </w:rPr>
      </w:pPr>
      <w:r w:rsidRPr="00CF10C7">
        <w:rPr>
          <w:rFonts w:ascii="Arial" w:hAnsi="Arial" w:cs="Arial"/>
          <w:sz w:val="20"/>
          <w:szCs w:val="20"/>
        </w:rPr>
        <w:t>- ПАО Московская биржа;</w:t>
      </w:r>
    </w:p>
    <w:p w:rsidR="00D900E2" w:rsidRPr="00CF10C7" w:rsidRDefault="00D900E2" w:rsidP="00D900E2">
      <w:pPr>
        <w:ind w:firstLine="567"/>
        <w:jc w:val="both"/>
        <w:rPr>
          <w:rFonts w:ascii="Arial" w:hAnsi="Arial" w:cs="Arial"/>
          <w:sz w:val="20"/>
          <w:szCs w:val="20"/>
        </w:rPr>
      </w:pPr>
      <w:r w:rsidRPr="00CF10C7">
        <w:rPr>
          <w:rFonts w:ascii="Arial" w:hAnsi="Arial" w:cs="Arial"/>
          <w:sz w:val="20"/>
          <w:szCs w:val="20"/>
        </w:rPr>
        <w:t>- иностранных бирж.</w:t>
      </w:r>
    </w:p>
    <w:p w:rsidR="00D900E2" w:rsidRPr="00CF10C7" w:rsidRDefault="00D900E2" w:rsidP="00D900E2">
      <w:pPr>
        <w:ind w:firstLine="567"/>
        <w:jc w:val="both"/>
        <w:rPr>
          <w:rFonts w:ascii="Arial" w:hAnsi="Arial" w:cs="Arial"/>
          <w:color w:val="000000" w:themeColor="text1"/>
          <w:sz w:val="20"/>
          <w:szCs w:val="20"/>
        </w:rPr>
      </w:pPr>
      <w:r w:rsidRPr="00CF10C7">
        <w:rPr>
          <w:rFonts w:ascii="Arial" w:hAnsi="Arial" w:cs="Arial"/>
          <w:sz w:val="20"/>
          <w:szCs w:val="20"/>
        </w:rPr>
        <w:t xml:space="preserve">Для подсчета платы за хранение ценных бумаг в качестве ценовой котировки по ценным бумагам, кроме облигаций, нот принимается рыночная стоимость ценных бумаг для расчета платы за хранение, опубликованная на официальном сайте НКО АО НРД по адресу </w:t>
      </w:r>
      <w:r w:rsidRPr="00CF10C7">
        <w:rPr>
          <w:rStyle w:val="itemtext1"/>
          <w:rFonts w:ascii="Arial" w:hAnsi="Arial" w:cs="Arial"/>
        </w:rPr>
        <w:t>в информационно-телекоммуникационной сети Интернет https://www.nsd.ru</w:t>
      </w:r>
      <w:r w:rsidRPr="00CF10C7">
        <w:rPr>
          <w:rFonts w:ascii="Arial" w:hAnsi="Arial" w:cs="Arial"/>
          <w:sz w:val="20"/>
          <w:szCs w:val="20"/>
        </w:rPr>
        <w:t xml:space="preserve"> за каждый календарный день (информация об оценке рыночной стоимости ценных бумаг для расчета платы за хранение</w:t>
      </w:r>
      <w:r w:rsidRPr="00CF10C7">
        <w:rPr>
          <w:rFonts w:ascii="Arial" w:hAnsi="Arial" w:cs="Arial"/>
          <w:color w:val="000000" w:themeColor="text1"/>
          <w:sz w:val="20"/>
          <w:szCs w:val="20"/>
        </w:rPr>
        <w:t xml:space="preserve">). В качестве ценовой котировки по облигациям, нотам принимается средневзвешенная цена. Если по ценным бумагам отсутствует рыночная цена на официальном сайте НКО АО НРД по адресу </w:t>
      </w:r>
      <w:r w:rsidRPr="00CF10C7">
        <w:rPr>
          <w:rStyle w:val="itemtext1"/>
          <w:rFonts w:ascii="Arial" w:hAnsi="Arial" w:cs="Arial"/>
          <w:color w:val="000000" w:themeColor="text1"/>
        </w:rPr>
        <w:t>в информационно-телекоммуникационной сети Интернет https://www.nsd.ru</w:t>
      </w:r>
      <w:r w:rsidRPr="00CF10C7">
        <w:rPr>
          <w:rFonts w:ascii="Arial" w:hAnsi="Arial" w:cs="Arial"/>
          <w:color w:val="000000" w:themeColor="text1"/>
          <w:sz w:val="20"/>
          <w:szCs w:val="20"/>
        </w:rPr>
        <w:t xml:space="preserve"> за каждый календарный день (информация об оценке рыночной стоимости ценных бумаг для расчета платы за хранение), в качестве ценовой котировки принимается средневзвешенная цена на основании данных, предоставляемых организаторами торгов. Если по результатам торгов ни на одном организаторе торгов не определена средневзвешенная цена, то Депозитарий использует последнюю известную по этому активу средневзвешенную цену.</w:t>
      </w:r>
    </w:p>
    <w:p w:rsidR="00D900E2" w:rsidRPr="00CF10C7" w:rsidRDefault="00D900E2" w:rsidP="00D900E2">
      <w:pPr>
        <w:ind w:firstLine="567"/>
        <w:jc w:val="both"/>
        <w:rPr>
          <w:rFonts w:ascii="Arial" w:hAnsi="Arial" w:cs="Arial"/>
          <w:color w:val="000000" w:themeColor="text1"/>
          <w:sz w:val="20"/>
          <w:szCs w:val="20"/>
        </w:rPr>
      </w:pPr>
      <w:r w:rsidRPr="00CF10C7">
        <w:rPr>
          <w:rFonts w:ascii="Arial" w:hAnsi="Arial" w:cs="Arial"/>
          <w:color w:val="000000" w:themeColor="text1"/>
          <w:sz w:val="20"/>
          <w:szCs w:val="20"/>
        </w:rPr>
        <w:t xml:space="preserve">Информация о рыночной цене при отсутствии средневзвешенной цены на одном из организаторов торговли может быть получена также с использованием других информационных систем.» </w:t>
      </w:r>
    </w:p>
    <w:p w:rsidR="00D900E2" w:rsidRPr="00CF10C7" w:rsidRDefault="00D900E2" w:rsidP="00007323">
      <w:pPr>
        <w:pStyle w:val="20"/>
        <w:spacing w:after="0"/>
        <w:ind w:firstLine="360"/>
        <w:jc w:val="both"/>
        <w:rPr>
          <w:sz w:val="20"/>
          <w:szCs w:val="20"/>
        </w:rPr>
      </w:pPr>
    </w:p>
    <w:p w:rsidR="006F0F19" w:rsidRPr="00CF10C7" w:rsidRDefault="00CF3D35" w:rsidP="00FC71EC">
      <w:pPr>
        <w:pStyle w:val="Default"/>
        <w:jc w:val="both"/>
        <w:rPr>
          <w:rFonts w:ascii="Arial" w:hAnsi="Arial" w:cs="Arial"/>
          <w:sz w:val="20"/>
          <w:szCs w:val="20"/>
        </w:rPr>
      </w:pPr>
      <w:r w:rsidRPr="00CF10C7">
        <w:rPr>
          <w:rFonts w:ascii="Arial" w:hAnsi="Arial" w:cs="Arial"/>
          <w:sz w:val="20"/>
          <w:szCs w:val="20"/>
        </w:rPr>
        <w:tab/>
      </w:r>
      <w:r w:rsidR="00D21AD0" w:rsidRPr="00CF10C7">
        <w:rPr>
          <w:rFonts w:ascii="Arial" w:hAnsi="Arial" w:cs="Arial"/>
          <w:sz w:val="20"/>
          <w:szCs w:val="20"/>
        </w:rPr>
        <w:t xml:space="preserve">2.  </w:t>
      </w:r>
      <w:r w:rsidR="00D900E2" w:rsidRPr="00CF10C7">
        <w:rPr>
          <w:rFonts w:ascii="Arial" w:hAnsi="Arial" w:cs="Arial"/>
          <w:sz w:val="20"/>
          <w:szCs w:val="20"/>
        </w:rPr>
        <w:t xml:space="preserve">Внести в разделе 10. Тарифов в </w:t>
      </w:r>
      <w:proofErr w:type="spellStart"/>
      <w:r w:rsidR="00D900E2" w:rsidRPr="00CF10C7">
        <w:rPr>
          <w:rFonts w:ascii="Arial" w:hAnsi="Arial" w:cs="Arial"/>
          <w:sz w:val="20"/>
          <w:szCs w:val="20"/>
        </w:rPr>
        <w:t>п.п</w:t>
      </w:r>
      <w:proofErr w:type="spellEnd"/>
      <w:r w:rsidR="00D900E2" w:rsidRPr="00CF10C7">
        <w:rPr>
          <w:rFonts w:ascii="Arial" w:hAnsi="Arial" w:cs="Arial"/>
          <w:sz w:val="20"/>
          <w:szCs w:val="20"/>
        </w:rPr>
        <w:t>. 1.6. уточнение в наименование услуги «Ведение счета депо при наличии остатков и/или условия проведения операций по счету депо в течение календарного месяца</w:t>
      </w:r>
      <w:r w:rsidR="00D900E2" w:rsidRPr="00CF10C7">
        <w:rPr>
          <w:rStyle w:val="a9"/>
          <w:rFonts w:ascii="Arial" w:hAnsi="Arial" w:cs="Arial"/>
          <w:sz w:val="20"/>
          <w:szCs w:val="20"/>
        </w:rPr>
        <w:footnoteReference w:id="1"/>
      </w:r>
      <w:r w:rsidR="00D900E2" w:rsidRPr="00CF10C7">
        <w:rPr>
          <w:rFonts w:ascii="Arial" w:hAnsi="Arial" w:cs="Arial"/>
          <w:sz w:val="20"/>
          <w:szCs w:val="20"/>
        </w:rPr>
        <w:t xml:space="preserve"> за 1 (один) счет депо» и увеличен</w:t>
      </w:r>
      <w:r w:rsidR="00D74043" w:rsidRPr="00CF10C7">
        <w:rPr>
          <w:rFonts w:ascii="Arial" w:hAnsi="Arial" w:cs="Arial"/>
          <w:sz w:val="20"/>
          <w:szCs w:val="20"/>
        </w:rPr>
        <w:t>ие</w:t>
      </w:r>
      <w:r w:rsidR="00D900E2" w:rsidRPr="00CF10C7">
        <w:rPr>
          <w:rFonts w:ascii="Arial" w:hAnsi="Arial" w:cs="Arial"/>
          <w:sz w:val="20"/>
          <w:szCs w:val="20"/>
        </w:rPr>
        <w:t xml:space="preserve"> тариф</w:t>
      </w:r>
      <w:r w:rsidR="00D74043" w:rsidRPr="00CF10C7">
        <w:rPr>
          <w:rFonts w:ascii="Arial" w:hAnsi="Arial" w:cs="Arial"/>
          <w:sz w:val="20"/>
          <w:szCs w:val="20"/>
        </w:rPr>
        <w:t>а</w:t>
      </w:r>
      <w:r w:rsidR="004B4392" w:rsidRPr="00CF10C7">
        <w:rPr>
          <w:rFonts w:ascii="Arial" w:hAnsi="Arial" w:cs="Arial"/>
          <w:sz w:val="20"/>
          <w:szCs w:val="20"/>
        </w:rPr>
        <w:t xml:space="preserve"> за услуг</w:t>
      </w:r>
      <w:r w:rsidR="00D74043" w:rsidRPr="00CF10C7">
        <w:rPr>
          <w:rFonts w:ascii="Arial" w:hAnsi="Arial" w:cs="Arial"/>
          <w:sz w:val="20"/>
          <w:szCs w:val="20"/>
        </w:rPr>
        <w:t>у с 250,00 рублей до 500,00 рублей.</w:t>
      </w:r>
      <w:r w:rsidR="004B4392" w:rsidRPr="00CF10C7">
        <w:rPr>
          <w:rFonts w:ascii="Arial" w:hAnsi="Arial" w:cs="Arial"/>
          <w:sz w:val="20"/>
          <w:szCs w:val="20"/>
        </w:rPr>
        <w:t xml:space="preserve"> </w:t>
      </w:r>
      <w:r w:rsidR="00D900E2" w:rsidRPr="00CF10C7">
        <w:rPr>
          <w:rFonts w:ascii="Arial" w:hAnsi="Arial" w:cs="Arial"/>
          <w:sz w:val="20"/>
          <w:szCs w:val="20"/>
        </w:rPr>
        <w:t xml:space="preserve"> </w:t>
      </w:r>
    </w:p>
    <w:p w:rsidR="0057650F" w:rsidRPr="00CF10C7" w:rsidRDefault="0057650F" w:rsidP="00FC71EC">
      <w:pPr>
        <w:pStyle w:val="Default"/>
        <w:jc w:val="both"/>
        <w:rPr>
          <w:rFonts w:ascii="Arial" w:hAnsi="Arial" w:cs="Arial"/>
          <w:sz w:val="20"/>
          <w:szCs w:val="20"/>
        </w:rPr>
      </w:pPr>
    </w:p>
    <w:p w:rsidR="0057650F" w:rsidRPr="00CF10C7" w:rsidRDefault="0057650F" w:rsidP="00954A99">
      <w:pPr>
        <w:pStyle w:val="Default"/>
        <w:jc w:val="both"/>
        <w:rPr>
          <w:rFonts w:ascii="Arial" w:hAnsi="Arial" w:cs="Arial"/>
          <w:sz w:val="20"/>
          <w:szCs w:val="20"/>
        </w:rPr>
      </w:pPr>
      <w:r w:rsidRPr="00CF10C7">
        <w:rPr>
          <w:rFonts w:ascii="Arial" w:hAnsi="Arial" w:cs="Arial"/>
          <w:sz w:val="20"/>
          <w:szCs w:val="20"/>
        </w:rPr>
        <w:tab/>
        <w:t>3. В разделе 10 Тарифов отказ от</w:t>
      </w:r>
      <w:r w:rsidR="009C0C0C">
        <w:rPr>
          <w:rFonts w:ascii="Arial" w:hAnsi="Arial" w:cs="Arial"/>
          <w:sz w:val="20"/>
          <w:szCs w:val="20"/>
        </w:rPr>
        <w:t xml:space="preserve"> </w:t>
      </w:r>
      <w:r w:rsidRPr="00CF10C7">
        <w:rPr>
          <w:rFonts w:ascii="Arial" w:hAnsi="Arial" w:cs="Arial"/>
          <w:sz w:val="20"/>
          <w:szCs w:val="20"/>
        </w:rPr>
        <w:t>взимании комиссии, установленный по п.п. 3.5. «Инвентарные операции по торговым счета</w:t>
      </w:r>
      <w:r w:rsidR="008B3E3A" w:rsidRPr="00CF10C7">
        <w:rPr>
          <w:rFonts w:ascii="Arial" w:hAnsi="Arial" w:cs="Arial"/>
          <w:sz w:val="20"/>
          <w:szCs w:val="20"/>
        </w:rPr>
        <w:t>м</w:t>
      </w:r>
      <w:r w:rsidRPr="00CF10C7">
        <w:rPr>
          <w:rFonts w:ascii="Arial" w:hAnsi="Arial" w:cs="Arial"/>
          <w:sz w:val="20"/>
          <w:szCs w:val="20"/>
        </w:rPr>
        <w:t xml:space="preserve"> депо и по </w:t>
      </w:r>
      <w:r w:rsidR="009C0C0C">
        <w:rPr>
          <w:rFonts w:ascii="Arial" w:hAnsi="Arial" w:cs="Arial"/>
          <w:sz w:val="20"/>
          <w:szCs w:val="20"/>
        </w:rPr>
        <w:t>итогам</w:t>
      </w:r>
      <w:r w:rsidRPr="00CF10C7">
        <w:rPr>
          <w:rFonts w:ascii="Arial" w:hAnsi="Arial" w:cs="Arial"/>
          <w:sz w:val="20"/>
          <w:szCs w:val="20"/>
        </w:rPr>
        <w:t xml:space="preserve"> организованных </w:t>
      </w:r>
      <w:r w:rsidR="009C0C0C">
        <w:rPr>
          <w:rFonts w:ascii="Arial" w:hAnsi="Arial" w:cs="Arial"/>
          <w:sz w:val="20"/>
          <w:szCs w:val="20"/>
        </w:rPr>
        <w:t>торгов</w:t>
      </w:r>
      <w:r w:rsidRPr="00CF10C7">
        <w:rPr>
          <w:rFonts w:ascii="Arial" w:hAnsi="Arial" w:cs="Arial"/>
          <w:sz w:val="20"/>
          <w:szCs w:val="20"/>
        </w:rPr>
        <w:t xml:space="preserve"> на биржевых площадках</w:t>
      </w:r>
      <w:r w:rsidR="00A43EDD" w:rsidRPr="00CF10C7">
        <w:rPr>
          <w:rFonts w:ascii="Arial" w:hAnsi="Arial" w:cs="Arial"/>
          <w:sz w:val="20"/>
          <w:szCs w:val="20"/>
        </w:rPr>
        <w:t>» в размере 85,00 рублей за позицию</w:t>
      </w:r>
      <w:r w:rsidR="00E12300" w:rsidRPr="00CF10C7">
        <w:rPr>
          <w:rFonts w:ascii="Arial" w:hAnsi="Arial" w:cs="Arial"/>
          <w:sz w:val="20"/>
          <w:szCs w:val="20"/>
        </w:rPr>
        <w:t xml:space="preserve"> и установленный по п.п. 3.</w:t>
      </w:r>
      <w:r w:rsidR="00F95068" w:rsidRPr="00CF10C7">
        <w:rPr>
          <w:rFonts w:ascii="Arial" w:hAnsi="Arial" w:cs="Arial"/>
          <w:sz w:val="20"/>
          <w:szCs w:val="20"/>
        </w:rPr>
        <w:t>6</w:t>
      </w:r>
      <w:r w:rsidR="00E12300" w:rsidRPr="00CF10C7">
        <w:rPr>
          <w:rFonts w:ascii="Arial" w:hAnsi="Arial" w:cs="Arial"/>
          <w:sz w:val="20"/>
          <w:szCs w:val="20"/>
        </w:rPr>
        <w:t>. «Инвентарные операции по торговым счета</w:t>
      </w:r>
      <w:r w:rsidR="00B5021D" w:rsidRPr="00CF10C7">
        <w:rPr>
          <w:rFonts w:ascii="Arial" w:hAnsi="Arial" w:cs="Arial"/>
          <w:sz w:val="20"/>
          <w:szCs w:val="20"/>
        </w:rPr>
        <w:t>м</w:t>
      </w:r>
      <w:r w:rsidR="00E12300" w:rsidRPr="00CF10C7">
        <w:rPr>
          <w:rFonts w:ascii="Arial" w:hAnsi="Arial" w:cs="Arial"/>
          <w:sz w:val="20"/>
          <w:szCs w:val="20"/>
        </w:rPr>
        <w:t xml:space="preserve"> депо по итогам клиринга внебиржевых расчетов по ценным бумагам» в размере 100,00 рублей за позицию</w:t>
      </w:r>
      <w:r w:rsidR="005422DB" w:rsidRPr="00CF10C7">
        <w:rPr>
          <w:rFonts w:ascii="Arial" w:hAnsi="Arial" w:cs="Arial"/>
          <w:sz w:val="20"/>
          <w:szCs w:val="20"/>
        </w:rPr>
        <w:t>.</w:t>
      </w:r>
    </w:p>
    <w:p w:rsidR="00D2559B" w:rsidRPr="00CF10C7" w:rsidRDefault="00D2559B" w:rsidP="00954A99">
      <w:pPr>
        <w:pStyle w:val="Default"/>
        <w:jc w:val="both"/>
        <w:rPr>
          <w:rFonts w:ascii="Arial" w:hAnsi="Arial" w:cs="Arial"/>
          <w:sz w:val="20"/>
          <w:szCs w:val="20"/>
        </w:rPr>
      </w:pPr>
    </w:p>
    <w:p w:rsidR="009C0C7E" w:rsidRPr="00CF10C7" w:rsidRDefault="009C0C7E" w:rsidP="00D2559B">
      <w:pPr>
        <w:pStyle w:val="Default"/>
        <w:ind w:firstLine="360"/>
        <w:jc w:val="both"/>
        <w:rPr>
          <w:rFonts w:ascii="Arial" w:hAnsi="Arial" w:cs="Arial"/>
          <w:sz w:val="20"/>
          <w:szCs w:val="20"/>
        </w:rPr>
      </w:pPr>
      <w:r w:rsidRPr="00CF10C7">
        <w:rPr>
          <w:rFonts w:ascii="Arial" w:hAnsi="Arial" w:cs="Arial"/>
          <w:sz w:val="20"/>
          <w:szCs w:val="20"/>
        </w:rPr>
        <w:t>4. Внести в разделе 10. Тарифов в п.п. 5.2. уточнение в наименование услуги «Учет эмиссионных ценных бумаг акций, инвестиционных паев паевых инвестиционных фондов, ипотечных сертификатов фондов, ипотечных сертификатов участия, депозитарных расписок и иных ценных бумаг, номинированных в рублях и не имеющих рыночной цены</w:t>
      </w:r>
      <w:r w:rsidRPr="00CF10C7">
        <w:rPr>
          <w:rStyle w:val="a9"/>
          <w:rFonts w:ascii="Arial" w:hAnsi="Arial" w:cs="Arial"/>
          <w:sz w:val="20"/>
          <w:szCs w:val="20"/>
        </w:rPr>
        <w:t>2</w:t>
      </w:r>
      <w:r w:rsidRPr="00CF10C7">
        <w:rPr>
          <w:rFonts w:ascii="Arial" w:hAnsi="Arial" w:cs="Arial"/>
          <w:sz w:val="20"/>
          <w:szCs w:val="20"/>
        </w:rPr>
        <w:t xml:space="preserve">» и изменение тарифа  с 500,00 </w:t>
      </w:r>
      <w:r w:rsidRPr="00CF10C7">
        <w:rPr>
          <w:rFonts w:ascii="Arial" w:hAnsi="Arial" w:cs="Arial"/>
          <w:sz w:val="20"/>
          <w:szCs w:val="20"/>
        </w:rPr>
        <w:lastRenderedPageBreak/>
        <w:t>рублей за один выпуск ценных бумаг  на тариф 300,00 рублей за один выпуск ценных бумаг на каждом счете депо Депонента,  но не менее 3000,00 рублей</w:t>
      </w:r>
      <w:r w:rsidRPr="00CF10C7">
        <w:rPr>
          <w:rStyle w:val="a9"/>
          <w:rFonts w:ascii="Arial" w:hAnsi="Arial" w:cs="Arial"/>
          <w:sz w:val="20"/>
          <w:szCs w:val="20"/>
        </w:rPr>
        <w:t>3</w:t>
      </w:r>
      <w:r w:rsidRPr="00CF10C7">
        <w:rPr>
          <w:rFonts w:ascii="Arial" w:hAnsi="Arial" w:cs="Arial"/>
          <w:sz w:val="20"/>
          <w:szCs w:val="20"/>
        </w:rPr>
        <w:t xml:space="preserve"> и не более 15000,00 рублей с Депонента (плата взимается с каждого счета депо Депонента пропорционально количеству выпусков ценных бумаг, не имеющих рыночной цены). </w:t>
      </w:r>
    </w:p>
    <w:p w:rsidR="00896A8E" w:rsidRPr="00CF10C7" w:rsidRDefault="00896A8E" w:rsidP="00954A99">
      <w:pPr>
        <w:pStyle w:val="Default"/>
        <w:jc w:val="both"/>
        <w:rPr>
          <w:rFonts w:ascii="Arial" w:hAnsi="Arial" w:cs="Arial"/>
          <w:sz w:val="20"/>
          <w:szCs w:val="20"/>
        </w:rPr>
      </w:pPr>
    </w:p>
    <w:p w:rsidR="00896A8E" w:rsidRPr="00CF10C7" w:rsidRDefault="00D2559B" w:rsidP="00DC1A9A">
      <w:pPr>
        <w:pStyle w:val="Default"/>
        <w:ind w:firstLine="360"/>
        <w:jc w:val="both"/>
        <w:rPr>
          <w:rFonts w:ascii="Arial" w:hAnsi="Arial" w:cs="Arial"/>
          <w:sz w:val="20"/>
          <w:szCs w:val="20"/>
        </w:rPr>
      </w:pPr>
      <w:r w:rsidRPr="00CF10C7">
        <w:rPr>
          <w:rFonts w:ascii="Arial" w:hAnsi="Arial" w:cs="Arial"/>
          <w:sz w:val="20"/>
          <w:szCs w:val="20"/>
        </w:rPr>
        <w:t>5</w:t>
      </w:r>
      <w:r w:rsidR="00896A8E" w:rsidRPr="00CF10C7">
        <w:rPr>
          <w:rFonts w:ascii="Arial" w:hAnsi="Arial" w:cs="Arial"/>
          <w:sz w:val="20"/>
          <w:szCs w:val="20"/>
        </w:rPr>
        <w:t>. Внести в разделе 10. Тарифов в п.п. 5.4. уточнение в наименование услуги «Учет эмиссионных ценных бумаг акций, инвестиционных паев паевых инвестиционных фондов, ипотечных сертификатов фондов, ипотечных сертификатов участия, депозитарных расписок и иных ценных бумаг, номинированных в валюте и не имеющих рыночной цены</w:t>
      </w:r>
      <w:r w:rsidR="00896A8E" w:rsidRPr="00CF10C7">
        <w:rPr>
          <w:rStyle w:val="a9"/>
          <w:rFonts w:ascii="Arial" w:hAnsi="Arial" w:cs="Arial"/>
          <w:sz w:val="20"/>
          <w:szCs w:val="20"/>
        </w:rPr>
        <w:t>2</w:t>
      </w:r>
      <w:r w:rsidR="00896A8E" w:rsidRPr="00CF10C7">
        <w:rPr>
          <w:rFonts w:ascii="Arial" w:hAnsi="Arial" w:cs="Arial"/>
          <w:sz w:val="20"/>
          <w:szCs w:val="20"/>
        </w:rPr>
        <w:t>» и изменение тарифа  с 500,00 рублей за один выпуск ценных бумаг  на тариф 300,00 рублей за один выпуск ценных бумаг на каждом счете депо Депонента,  но не менее 3000,00 рублей</w:t>
      </w:r>
      <w:r w:rsidR="00896A8E" w:rsidRPr="00CF10C7">
        <w:rPr>
          <w:rStyle w:val="a9"/>
          <w:rFonts w:ascii="Arial" w:hAnsi="Arial" w:cs="Arial"/>
          <w:sz w:val="20"/>
          <w:szCs w:val="20"/>
        </w:rPr>
        <w:t>3</w:t>
      </w:r>
      <w:r w:rsidR="00896A8E" w:rsidRPr="00CF10C7">
        <w:rPr>
          <w:rFonts w:ascii="Arial" w:hAnsi="Arial" w:cs="Arial"/>
          <w:sz w:val="20"/>
          <w:szCs w:val="20"/>
        </w:rPr>
        <w:t xml:space="preserve"> и не более 15000,00 рублей с Депонента (плата взимается с каждого счета депо Депонента пропорционально количеству выпусков ценных бумаг, не имеющих рыночной цены). </w:t>
      </w:r>
    </w:p>
    <w:p w:rsidR="00176EAC" w:rsidRPr="00CF10C7" w:rsidRDefault="00176EAC" w:rsidP="00DC1A9A">
      <w:pPr>
        <w:pStyle w:val="Default"/>
        <w:ind w:firstLine="360"/>
        <w:jc w:val="both"/>
        <w:rPr>
          <w:rFonts w:ascii="Arial" w:hAnsi="Arial" w:cs="Arial"/>
          <w:sz w:val="20"/>
          <w:szCs w:val="20"/>
        </w:rPr>
      </w:pPr>
    </w:p>
    <w:p w:rsidR="00176EAC" w:rsidRPr="00CF10C7" w:rsidRDefault="00D2559B" w:rsidP="00DC1A9A">
      <w:pPr>
        <w:pStyle w:val="Default"/>
        <w:ind w:firstLine="360"/>
        <w:jc w:val="both"/>
        <w:rPr>
          <w:rFonts w:ascii="Arial" w:hAnsi="Arial" w:cs="Arial"/>
          <w:sz w:val="20"/>
          <w:szCs w:val="20"/>
        </w:rPr>
      </w:pPr>
      <w:r w:rsidRPr="00CF10C7">
        <w:rPr>
          <w:rFonts w:ascii="Arial" w:hAnsi="Arial" w:cs="Arial"/>
          <w:sz w:val="20"/>
          <w:szCs w:val="20"/>
        </w:rPr>
        <w:t>6</w:t>
      </w:r>
      <w:r w:rsidR="00176EAC" w:rsidRPr="00CF10C7">
        <w:rPr>
          <w:rFonts w:ascii="Arial" w:hAnsi="Arial" w:cs="Arial"/>
          <w:sz w:val="20"/>
          <w:szCs w:val="20"/>
        </w:rPr>
        <w:t>. Внести в разделе 10. Тарифов в п.п. 5.5. уточнение в наименование услуги «Учет облигаций, нот (кроме облигаций эмитента ББР Банк (АО)), номинированных в рублях и не имеющих рыночной цены (от стоимости остатка)»</w:t>
      </w:r>
    </w:p>
    <w:p w:rsidR="00176EAC" w:rsidRPr="00CF10C7" w:rsidRDefault="00176EAC" w:rsidP="00DC1A9A">
      <w:pPr>
        <w:pStyle w:val="Default"/>
        <w:ind w:firstLine="360"/>
        <w:jc w:val="both"/>
        <w:rPr>
          <w:rFonts w:ascii="Arial" w:hAnsi="Arial" w:cs="Arial"/>
          <w:sz w:val="20"/>
          <w:szCs w:val="20"/>
        </w:rPr>
      </w:pPr>
    </w:p>
    <w:p w:rsidR="00176EAC" w:rsidRPr="00CF10C7" w:rsidRDefault="00D2559B" w:rsidP="00176EAC">
      <w:pPr>
        <w:pStyle w:val="Default"/>
        <w:ind w:firstLine="360"/>
        <w:jc w:val="both"/>
        <w:rPr>
          <w:rFonts w:ascii="Arial" w:hAnsi="Arial" w:cs="Arial"/>
          <w:sz w:val="20"/>
          <w:szCs w:val="20"/>
        </w:rPr>
      </w:pPr>
      <w:r w:rsidRPr="00CF10C7">
        <w:rPr>
          <w:rFonts w:ascii="Arial" w:hAnsi="Arial" w:cs="Arial"/>
          <w:sz w:val="20"/>
          <w:szCs w:val="20"/>
        </w:rPr>
        <w:t>7</w:t>
      </w:r>
      <w:r w:rsidR="00176EAC" w:rsidRPr="00CF10C7">
        <w:rPr>
          <w:rFonts w:ascii="Arial" w:hAnsi="Arial" w:cs="Arial"/>
          <w:sz w:val="20"/>
          <w:szCs w:val="20"/>
        </w:rPr>
        <w:t>. Внести в разделе 10. Тарифов в п.п. 5.6. уточнение в наименование услуги «Учет облигаций, нот (кроме облигаций эмитента ББР Банк (АО)), номинированных в иностранной валюте и не имеющих рыночной цены (от стоимости остатка)»</w:t>
      </w:r>
    </w:p>
    <w:p w:rsidR="00F000C5" w:rsidRPr="00CF10C7" w:rsidRDefault="00F000C5" w:rsidP="00176EAC">
      <w:pPr>
        <w:pStyle w:val="Default"/>
        <w:ind w:firstLine="360"/>
        <w:jc w:val="both"/>
        <w:rPr>
          <w:rFonts w:ascii="Arial" w:hAnsi="Arial" w:cs="Arial"/>
          <w:sz w:val="20"/>
          <w:szCs w:val="20"/>
        </w:rPr>
      </w:pPr>
    </w:p>
    <w:p w:rsidR="00F000C5" w:rsidRPr="00CF10C7" w:rsidRDefault="00F000C5" w:rsidP="00176EAC">
      <w:pPr>
        <w:pStyle w:val="Default"/>
        <w:ind w:firstLine="360"/>
        <w:jc w:val="both"/>
        <w:rPr>
          <w:rFonts w:ascii="Arial" w:hAnsi="Arial" w:cs="Arial"/>
          <w:sz w:val="20"/>
          <w:szCs w:val="20"/>
        </w:rPr>
      </w:pPr>
      <w:r w:rsidRPr="00CF10C7">
        <w:rPr>
          <w:rFonts w:ascii="Arial" w:hAnsi="Arial" w:cs="Arial"/>
          <w:sz w:val="20"/>
          <w:szCs w:val="20"/>
        </w:rPr>
        <w:t>8. Убрать в разделе 10. Тарифов в п.п. 5.7. наименование услуги «Учет облигаций эмитента ББР Банка (АО), номинированных в рублях или в иностранной валюте» и размер тарифа 5000,00 рублей ежегодный тариф.</w:t>
      </w:r>
    </w:p>
    <w:p w:rsidR="00F000C5" w:rsidRPr="00CF10C7" w:rsidRDefault="00F000C5" w:rsidP="00176EAC">
      <w:pPr>
        <w:pStyle w:val="Default"/>
        <w:ind w:firstLine="360"/>
        <w:jc w:val="both"/>
        <w:rPr>
          <w:rFonts w:ascii="Arial" w:hAnsi="Arial" w:cs="Arial"/>
          <w:sz w:val="20"/>
          <w:szCs w:val="20"/>
        </w:rPr>
      </w:pPr>
    </w:p>
    <w:p w:rsidR="00F000C5" w:rsidRPr="00CF10C7" w:rsidRDefault="00F000C5" w:rsidP="00F000C5">
      <w:pPr>
        <w:pStyle w:val="Default"/>
        <w:ind w:firstLine="360"/>
        <w:jc w:val="both"/>
        <w:rPr>
          <w:rFonts w:ascii="Arial" w:hAnsi="Arial" w:cs="Arial"/>
          <w:sz w:val="20"/>
          <w:szCs w:val="20"/>
        </w:rPr>
      </w:pPr>
      <w:r w:rsidRPr="00CF10C7">
        <w:rPr>
          <w:rFonts w:ascii="Arial" w:hAnsi="Arial" w:cs="Arial"/>
          <w:sz w:val="20"/>
          <w:szCs w:val="20"/>
        </w:rPr>
        <w:t>9. Ввести в разделе 10. Тарифов в п.п. 5.7.</w:t>
      </w:r>
      <w:r w:rsidR="00A7437B">
        <w:rPr>
          <w:rFonts w:ascii="Arial" w:hAnsi="Arial" w:cs="Arial"/>
          <w:sz w:val="20"/>
          <w:szCs w:val="20"/>
        </w:rPr>
        <w:t xml:space="preserve"> </w:t>
      </w:r>
      <w:r w:rsidRPr="00CF10C7">
        <w:rPr>
          <w:rFonts w:ascii="Arial" w:hAnsi="Arial" w:cs="Arial"/>
          <w:sz w:val="20"/>
          <w:szCs w:val="20"/>
        </w:rPr>
        <w:t>наименование услуги «</w:t>
      </w:r>
      <w:r w:rsidRPr="00CF10C7">
        <w:rPr>
          <w:rFonts w:ascii="Arial" w:eastAsiaTheme="minorHAnsi" w:hAnsi="Arial" w:cs="Arial"/>
          <w:sz w:val="20"/>
          <w:szCs w:val="20"/>
          <w:lang w:eastAsia="en-US"/>
        </w:rPr>
        <w:t>Учет клиринговых сертификатов участия</w:t>
      </w:r>
      <w:r w:rsidRPr="00CF10C7">
        <w:rPr>
          <w:rFonts w:ascii="Arial" w:hAnsi="Arial" w:cs="Arial"/>
          <w:sz w:val="20"/>
          <w:szCs w:val="20"/>
        </w:rPr>
        <w:t xml:space="preserve">» и размер тарифа </w:t>
      </w:r>
      <w:r w:rsidRPr="00CF10C7">
        <w:rPr>
          <w:rFonts w:ascii="Arial" w:eastAsiaTheme="minorHAnsi" w:hAnsi="Arial" w:cs="Arial"/>
          <w:sz w:val="20"/>
          <w:szCs w:val="20"/>
          <w:lang w:eastAsia="en-US"/>
        </w:rPr>
        <w:t>1000,00 рублей (за каждый раздел счета депо, на котором учитывались ценные бумаги в течение полного или неполного календарного месяца)</w:t>
      </w:r>
      <w:r w:rsidRPr="00CF10C7">
        <w:rPr>
          <w:rFonts w:ascii="Arial" w:hAnsi="Arial" w:cs="Arial"/>
          <w:sz w:val="20"/>
          <w:szCs w:val="20"/>
        </w:rPr>
        <w:t>.</w:t>
      </w:r>
    </w:p>
    <w:p w:rsidR="00931EDC" w:rsidRPr="00CF10C7" w:rsidRDefault="00931EDC" w:rsidP="00F000C5">
      <w:pPr>
        <w:pStyle w:val="Default"/>
        <w:ind w:firstLine="360"/>
        <w:jc w:val="both"/>
        <w:rPr>
          <w:rFonts w:ascii="Arial" w:hAnsi="Arial" w:cs="Arial"/>
          <w:sz w:val="20"/>
          <w:szCs w:val="20"/>
        </w:rPr>
      </w:pPr>
    </w:p>
    <w:p w:rsidR="00931EDC" w:rsidRPr="00CF10C7" w:rsidRDefault="00931EDC" w:rsidP="00F000C5">
      <w:pPr>
        <w:pStyle w:val="Default"/>
        <w:ind w:firstLine="360"/>
        <w:jc w:val="both"/>
        <w:rPr>
          <w:rStyle w:val="a3"/>
          <w:sz w:val="20"/>
          <w:szCs w:val="20"/>
        </w:rPr>
      </w:pPr>
      <w:r w:rsidRPr="00CF10C7">
        <w:rPr>
          <w:rFonts w:ascii="Arial" w:hAnsi="Arial" w:cs="Arial"/>
          <w:sz w:val="20"/>
          <w:szCs w:val="20"/>
        </w:rPr>
        <w:t xml:space="preserve">10. </w:t>
      </w:r>
      <w:r w:rsidRPr="00CF10C7">
        <w:rPr>
          <w:rStyle w:val="a3"/>
          <w:sz w:val="20"/>
          <w:szCs w:val="20"/>
        </w:rPr>
        <w:t>Внести изменения в Разделе 11 «</w:t>
      </w:r>
      <w:r w:rsidRPr="00CF10C7">
        <w:rPr>
          <w:rFonts w:ascii="Arial" w:hAnsi="Arial" w:cs="Arial"/>
          <w:sz w:val="20"/>
          <w:szCs w:val="20"/>
        </w:rPr>
        <w:t>Плата за оказание депозитарных услуг для депонентов, имеющих на своих счетах депо облигации эмитента ББР Банк (АО)»</w:t>
      </w:r>
      <w:r w:rsidRPr="00CF10C7">
        <w:rPr>
          <w:rStyle w:val="a3"/>
          <w:sz w:val="20"/>
          <w:szCs w:val="20"/>
        </w:rPr>
        <w:t xml:space="preserve"> Тарифов, в следующей редакции:</w:t>
      </w:r>
    </w:p>
    <w:p w:rsidR="00931EDC" w:rsidRPr="00CF10C7" w:rsidRDefault="00931EDC" w:rsidP="00931EDC">
      <w:pPr>
        <w:ind w:firstLine="567"/>
        <w:jc w:val="both"/>
        <w:rPr>
          <w:rFonts w:ascii="Arial" w:hAnsi="Arial" w:cs="Arial"/>
          <w:sz w:val="20"/>
          <w:szCs w:val="20"/>
        </w:rPr>
      </w:pPr>
      <w:r w:rsidRPr="00CF10C7">
        <w:rPr>
          <w:rFonts w:ascii="Arial" w:hAnsi="Arial" w:cs="Arial"/>
          <w:sz w:val="20"/>
          <w:szCs w:val="20"/>
        </w:rPr>
        <w:t xml:space="preserve">Плата за оказание депозитарных услуг, согласно утвержденным Тарифам Депозитария ББР Банк (АО) с депонентов не взимается, при условии учета на счетах депо исключительно облигаций эмитента ББР Банк (АО). </w:t>
      </w:r>
    </w:p>
    <w:p w:rsidR="00931EDC" w:rsidRPr="00CF10C7" w:rsidRDefault="00931EDC" w:rsidP="00931EDC">
      <w:pPr>
        <w:ind w:firstLine="567"/>
        <w:jc w:val="both"/>
        <w:rPr>
          <w:rFonts w:ascii="Arial" w:hAnsi="Arial" w:cs="Arial"/>
          <w:sz w:val="20"/>
          <w:szCs w:val="20"/>
        </w:rPr>
      </w:pPr>
      <w:r w:rsidRPr="00CF10C7">
        <w:rPr>
          <w:rFonts w:ascii="Arial" w:hAnsi="Arial" w:cs="Arial"/>
          <w:sz w:val="20"/>
          <w:szCs w:val="20"/>
        </w:rPr>
        <w:t>В случае, если на счетах депо депонентов учитываются иные ценные бумаги, то плата за оказание депозитарных услуг взимается, согласно утвержденным Тарифам Депозитария ББР Банк (АО).</w:t>
      </w:r>
    </w:p>
    <w:p w:rsidR="007F6209" w:rsidRPr="00CF10C7" w:rsidRDefault="007F6209" w:rsidP="00931EDC">
      <w:pPr>
        <w:ind w:firstLine="567"/>
        <w:jc w:val="both"/>
        <w:rPr>
          <w:rFonts w:ascii="Arial" w:hAnsi="Arial" w:cs="Arial"/>
          <w:sz w:val="20"/>
          <w:szCs w:val="20"/>
        </w:rPr>
      </w:pPr>
    </w:p>
    <w:p w:rsidR="007F6209" w:rsidRPr="00CF10C7" w:rsidRDefault="007F6209" w:rsidP="007F6209">
      <w:pPr>
        <w:ind w:firstLine="567"/>
        <w:jc w:val="both"/>
        <w:rPr>
          <w:rFonts w:ascii="Arial" w:hAnsi="Arial" w:cs="Arial"/>
          <w:sz w:val="20"/>
          <w:szCs w:val="20"/>
        </w:rPr>
      </w:pPr>
      <w:r w:rsidRPr="00CF10C7">
        <w:rPr>
          <w:rFonts w:ascii="Arial" w:hAnsi="Arial" w:cs="Arial"/>
          <w:sz w:val="20"/>
          <w:szCs w:val="20"/>
        </w:rPr>
        <w:t>11. В Тарифы внести новый раздел 12 «Плата за оказание депозитарных услуг для Депонентов, в случае назначения Попечителя счета депо ООО «ББР БРОКЕР» в следующей редакции»:</w:t>
      </w:r>
    </w:p>
    <w:p w:rsidR="007F6209" w:rsidRPr="00CF10C7" w:rsidRDefault="007F6209" w:rsidP="007F6209">
      <w:pPr>
        <w:ind w:firstLine="567"/>
        <w:jc w:val="both"/>
        <w:rPr>
          <w:rFonts w:ascii="Arial" w:hAnsi="Arial" w:cs="Arial"/>
          <w:sz w:val="20"/>
          <w:szCs w:val="20"/>
        </w:rPr>
      </w:pPr>
    </w:p>
    <w:p w:rsidR="007F6209" w:rsidRPr="00CF10C7" w:rsidRDefault="007F6209" w:rsidP="007F6209">
      <w:pPr>
        <w:ind w:firstLine="567"/>
        <w:jc w:val="both"/>
        <w:rPr>
          <w:rFonts w:ascii="Arial" w:hAnsi="Arial" w:cs="Arial"/>
          <w:sz w:val="20"/>
          <w:szCs w:val="20"/>
        </w:rPr>
      </w:pPr>
      <w:r w:rsidRPr="00CF10C7">
        <w:rPr>
          <w:rFonts w:ascii="Arial" w:hAnsi="Arial" w:cs="Arial"/>
          <w:sz w:val="20"/>
          <w:szCs w:val="20"/>
        </w:rPr>
        <w:t xml:space="preserve">«В случае, если по счету депо Депонента назначен Попечитель счета депо ООО «ББР БРОКЕР», плата за оказание депозитарных услуг, утвержденных Тарифами Депозитария ББР Банк (АО) согласно п.п. 1.6, 3.1, 3.4, 5.1, 5.2, 5.3, 5.4, 5.5, 5.6 и 5.7  с Депонентов не взимается (за исключением случая, когда Депонент, Попечитель счета депо подает поручение на снятие ценных бумаг с учета со счета депо в связи с прекращением договорных отношений с ООО «ББР БРОКЕР» и ББР Банком (АО), либо в случае снятия ценных бумаг с учета со счета депо без проведения расчетов через ООО «ББР БРОКЕР»)». </w:t>
      </w:r>
    </w:p>
    <w:p w:rsidR="00F35F53" w:rsidRDefault="00F35F53" w:rsidP="00F35F53">
      <w:pPr>
        <w:rPr>
          <w:rFonts w:eastAsiaTheme="minorHAnsi"/>
        </w:rPr>
      </w:pPr>
    </w:p>
    <w:p w:rsidR="00F35F53" w:rsidRDefault="00F35F53" w:rsidP="00F35F53">
      <w:r w:rsidRPr="003C37EB">
        <w:rPr>
          <w:rStyle w:val="a9"/>
        </w:rPr>
        <w:t>2</w:t>
      </w:r>
      <w:r w:rsidRPr="003C37EB">
        <w:rPr>
          <w:sz w:val="12"/>
          <w:szCs w:val="12"/>
        </w:rPr>
        <w:t xml:space="preserve"> </w:t>
      </w:r>
      <w:r w:rsidRPr="001A5CDA">
        <w:rPr>
          <w:sz w:val="18"/>
          <w:szCs w:val="18"/>
        </w:rPr>
        <w:t>Ценные бумаги считаются не имеющими рыночной стоимости в случае отсутствия возможности ее установления, а также если рыночная стоимость, определенная в соответствии с Приложением 2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была равна нулю в течение части месяца.</w:t>
      </w:r>
      <w:r>
        <w:rPr>
          <w:sz w:val="18"/>
          <w:szCs w:val="18"/>
        </w:rPr>
        <w:t xml:space="preserve"> </w:t>
      </w:r>
      <w:r>
        <w:t> </w:t>
      </w:r>
    </w:p>
    <w:p w:rsidR="00D900E2" w:rsidRPr="00D900E2" w:rsidRDefault="00F35F53" w:rsidP="007F6209">
      <w:pPr>
        <w:rPr>
          <w:rFonts w:ascii="Arial" w:hAnsi="Arial" w:cs="Arial"/>
          <w:sz w:val="20"/>
          <w:szCs w:val="20"/>
        </w:rPr>
      </w:pPr>
      <w:r>
        <w:rPr>
          <w:rStyle w:val="a9"/>
        </w:rPr>
        <w:t>3</w:t>
      </w:r>
      <w:r>
        <w:t xml:space="preserve"> </w:t>
      </w:r>
      <w:r w:rsidRPr="001A5CDA">
        <w:rPr>
          <w:sz w:val="18"/>
          <w:szCs w:val="18"/>
        </w:rPr>
        <w:t>Но не менее 3000,00 рублей</w:t>
      </w:r>
      <w:r>
        <w:rPr>
          <w:sz w:val="18"/>
          <w:szCs w:val="18"/>
        </w:rPr>
        <w:t xml:space="preserve"> берется в случае, если хотя бы один выпуск ценных бумаг учитывается </w:t>
      </w:r>
      <w:r w:rsidRPr="001A5CDA">
        <w:rPr>
          <w:sz w:val="18"/>
          <w:szCs w:val="18"/>
        </w:rPr>
        <w:t>по месту хранения в НКО АО НРД</w:t>
      </w:r>
    </w:p>
    <w:p w:rsidR="00D900E2" w:rsidRPr="00D900E2" w:rsidRDefault="00D900E2" w:rsidP="0083176B">
      <w:pPr>
        <w:jc w:val="both"/>
        <w:rPr>
          <w:rFonts w:ascii="Arial" w:hAnsi="Arial" w:cs="Arial"/>
          <w:sz w:val="20"/>
          <w:szCs w:val="20"/>
        </w:rPr>
      </w:pPr>
    </w:p>
    <w:sectPr w:rsidR="00D900E2" w:rsidRPr="00D900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55" w:rsidRDefault="00247955" w:rsidP="00950FA4">
      <w:r>
        <w:separator/>
      </w:r>
    </w:p>
  </w:endnote>
  <w:endnote w:type="continuationSeparator" w:id="0">
    <w:p w:rsidR="00247955" w:rsidRDefault="00247955" w:rsidP="0095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55" w:rsidRDefault="00247955" w:rsidP="00950FA4">
      <w:r>
        <w:separator/>
      </w:r>
    </w:p>
  </w:footnote>
  <w:footnote w:type="continuationSeparator" w:id="0">
    <w:p w:rsidR="00247955" w:rsidRDefault="00247955" w:rsidP="00950FA4">
      <w:r>
        <w:continuationSeparator/>
      </w:r>
    </w:p>
  </w:footnote>
  <w:footnote w:id="1">
    <w:p w:rsidR="00D900E2" w:rsidRDefault="00D900E2" w:rsidP="00D900E2">
      <w:pPr>
        <w:pStyle w:val="a7"/>
      </w:pPr>
      <w:r>
        <w:rPr>
          <w:rStyle w:val="a9"/>
        </w:rPr>
        <w:footnoteRef/>
      </w:r>
      <w:r>
        <w:t xml:space="preserve"> В случае нулевых остатков ценных бумаг на счете депо на конец каждого операционного дня расчетного месяца, и при отсутствии за расчетный месяц инвентарных операций, плата за услуги не взимается.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92B"/>
    <w:multiLevelType w:val="hybridMultilevel"/>
    <w:tmpl w:val="100C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F1001"/>
    <w:multiLevelType w:val="hybridMultilevel"/>
    <w:tmpl w:val="BAAE329A"/>
    <w:lvl w:ilvl="0" w:tplc="0419000F">
      <w:start w:val="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4E433611"/>
    <w:multiLevelType w:val="hybridMultilevel"/>
    <w:tmpl w:val="B69E6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002084F"/>
    <w:multiLevelType w:val="hybridMultilevel"/>
    <w:tmpl w:val="8196E5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0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6B3F13"/>
    <w:multiLevelType w:val="multilevel"/>
    <w:tmpl w:val="EDAA5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8A"/>
    <w:rsid w:val="00000FEE"/>
    <w:rsid w:val="0000521C"/>
    <w:rsid w:val="00005E7E"/>
    <w:rsid w:val="000060EF"/>
    <w:rsid w:val="00007323"/>
    <w:rsid w:val="00011706"/>
    <w:rsid w:val="00011C79"/>
    <w:rsid w:val="00013690"/>
    <w:rsid w:val="0002311B"/>
    <w:rsid w:val="0002547D"/>
    <w:rsid w:val="000268DD"/>
    <w:rsid w:val="00026EF8"/>
    <w:rsid w:val="00030BC2"/>
    <w:rsid w:val="00034023"/>
    <w:rsid w:val="00037835"/>
    <w:rsid w:val="00046F45"/>
    <w:rsid w:val="00047B71"/>
    <w:rsid w:val="000503A7"/>
    <w:rsid w:val="00051615"/>
    <w:rsid w:val="00051C6F"/>
    <w:rsid w:val="0005201C"/>
    <w:rsid w:val="00055191"/>
    <w:rsid w:val="000571E9"/>
    <w:rsid w:val="00066BB7"/>
    <w:rsid w:val="000672D3"/>
    <w:rsid w:val="00075D93"/>
    <w:rsid w:val="00077295"/>
    <w:rsid w:val="00080179"/>
    <w:rsid w:val="000856AC"/>
    <w:rsid w:val="00092EF3"/>
    <w:rsid w:val="000962E2"/>
    <w:rsid w:val="000A37FA"/>
    <w:rsid w:val="000A4678"/>
    <w:rsid w:val="000A6481"/>
    <w:rsid w:val="000A64C2"/>
    <w:rsid w:val="000A687B"/>
    <w:rsid w:val="000B35A7"/>
    <w:rsid w:val="000B48EB"/>
    <w:rsid w:val="000B6F26"/>
    <w:rsid w:val="000B7C69"/>
    <w:rsid w:val="000C03B8"/>
    <w:rsid w:val="000C3982"/>
    <w:rsid w:val="000C3E26"/>
    <w:rsid w:val="000C4BD6"/>
    <w:rsid w:val="000C78CE"/>
    <w:rsid w:val="000D1F61"/>
    <w:rsid w:val="000D68D2"/>
    <w:rsid w:val="000D7A62"/>
    <w:rsid w:val="000D7FF7"/>
    <w:rsid w:val="000E4C31"/>
    <w:rsid w:val="000F0F56"/>
    <w:rsid w:val="000F2C31"/>
    <w:rsid w:val="000F35C7"/>
    <w:rsid w:val="00101457"/>
    <w:rsid w:val="001020E3"/>
    <w:rsid w:val="00105093"/>
    <w:rsid w:val="001054F5"/>
    <w:rsid w:val="00107778"/>
    <w:rsid w:val="001079AF"/>
    <w:rsid w:val="00107E7C"/>
    <w:rsid w:val="0011000C"/>
    <w:rsid w:val="0011132A"/>
    <w:rsid w:val="00114A7C"/>
    <w:rsid w:val="00115B08"/>
    <w:rsid w:val="001207BD"/>
    <w:rsid w:val="00120CCA"/>
    <w:rsid w:val="001253CE"/>
    <w:rsid w:val="00131E5D"/>
    <w:rsid w:val="0013384F"/>
    <w:rsid w:val="0013427D"/>
    <w:rsid w:val="0014105B"/>
    <w:rsid w:val="00141419"/>
    <w:rsid w:val="00142720"/>
    <w:rsid w:val="0014677D"/>
    <w:rsid w:val="00146951"/>
    <w:rsid w:val="00147BBB"/>
    <w:rsid w:val="00147CC8"/>
    <w:rsid w:val="00150788"/>
    <w:rsid w:val="00150A74"/>
    <w:rsid w:val="00150BC8"/>
    <w:rsid w:val="001648B3"/>
    <w:rsid w:val="0016752B"/>
    <w:rsid w:val="00170B53"/>
    <w:rsid w:val="00172A84"/>
    <w:rsid w:val="0017304D"/>
    <w:rsid w:val="00176EAC"/>
    <w:rsid w:val="00177732"/>
    <w:rsid w:val="00177C76"/>
    <w:rsid w:val="00181764"/>
    <w:rsid w:val="00184B52"/>
    <w:rsid w:val="00184D07"/>
    <w:rsid w:val="001858F5"/>
    <w:rsid w:val="00186EEF"/>
    <w:rsid w:val="00197978"/>
    <w:rsid w:val="00197CD4"/>
    <w:rsid w:val="001A4219"/>
    <w:rsid w:val="001B0700"/>
    <w:rsid w:val="001B351F"/>
    <w:rsid w:val="001C1D06"/>
    <w:rsid w:val="001D03EC"/>
    <w:rsid w:val="001D167B"/>
    <w:rsid w:val="001D3ABE"/>
    <w:rsid w:val="001E1A9C"/>
    <w:rsid w:val="001E238A"/>
    <w:rsid w:val="001E3FD0"/>
    <w:rsid w:val="001F1AE1"/>
    <w:rsid w:val="001F3220"/>
    <w:rsid w:val="001F492F"/>
    <w:rsid w:val="001F4EEE"/>
    <w:rsid w:val="001F5167"/>
    <w:rsid w:val="001F5534"/>
    <w:rsid w:val="00206FCF"/>
    <w:rsid w:val="00212D74"/>
    <w:rsid w:val="00221E66"/>
    <w:rsid w:val="00223FB8"/>
    <w:rsid w:val="00226C3D"/>
    <w:rsid w:val="002309E6"/>
    <w:rsid w:val="00231160"/>
    <w:rsid w:val="00231D0C"/>
    <w:rsid w:val="00240544"/>
    <w:rsid w:val="00241523"/>
    <w:rsid w:val="0024164B"/>
    <w:rsid w:val="002457D2"/>
    <w:rsid w:val="002468E2"/>
    <w:rsid w:val="00247955"/>
    <w:rsid w:val="00247FAE"/>
    <w:rsid w:val="00251355"/>
    <w:rsid w:val="00251E4A"/>
    <w:rsid w:val="0025277A"/>
    <w:rsid w:val="00253FAD"/>
    <w:rsid w:val="002551F3"/>
    <w:rsid w:val="0025734D"/>
    <w:rsid w:val="002600F2"/>
    <w:rsid w:val="00265E15"/>
    <w:rsid w:val="00271164"/>
    <w:rsid w:val="002734BF"/>
    <w:rsid w:val="0027471A"/>
    <w:rsid w:val="002749F5"/>
    <w:rsid w:val="00275083"/>
    <w:rsid w:val="00276AD0"/>
    <w:rsid w:val="0028258C"/>
    <w:rsid w:val="00294D21"/>
    <w:rsid w:val="00297CC1"/>
    <w:rsid w:val="002A32D3"/>
    <w:rsid w:val="002A50B6"/>
    <w:rsid w:val="002A70C6"/>
    <w:rsid w:val="002B1713"/>
    <w:rsid w:val="002B2928"/>
    <w:rsid w:val="002B2C2C"/>
    <w:rsid w:val="002B52C2"/>
    <w:rsid w:val="002C6EFA"/>
    <w:rsid w:val="002D05BA"/>
    <w:rsid w:val="002D1567"/>
    <w:rsid w:val="002D30E2"/>
    <w:rsid w:val="002D65D8"/>
    <w:rsid w:val="002D7150"/>
    <w:rsid w:val="002D78B3"/>
    <w:rsid w:val="002E00BD"/>
    <w:rsid w:val="002E3851"/>
    <w:rsid w:val="002E6364"/>
    <w:rsid w:val="002F1203"/>
    <w:rsid w:val="002F2BC4"/>
    <w:rsid w:val="002F4CFB"/>
    <w:rsid w:val="002F6B32"/>
    <w:rsid w:val="00300464"/>
    <w:rsid w:val="00300A16"/>
    <w:rsid w:val="003076BA"/>
    <w:rsid w:val="00310D5C"/>
    <w:rsid w:val="00317102"/>
    <w:rsid w:val="003216D6"/>
    <w:rsid w:val="0032265B"/>
    <w:rsid w:val="0032557A"/>
    <w:rsid w:val="003322DA"/>
    <w:rsid w:val="00337F2A"/>
    <w:rsid w:val="00340A96"/>
    <w:rsid w:val="00356CBD"/>
    <w:rsid w:val="00360B8A"/>
    <w:rsid w:val="00360BF2"/>
    <w:rsid w:val="00363BF3"/>
    <w:rsid w:val="00374A57"/>
    <w:rsid w:val="00380351"/>
    <w:rsid w:val="00385ECE"/>
    <w:rsid w:val="00386652"/>
    <w:rsid w:val="00387B0B"/>
    <w:rsid w:val="00392246"/>
    <w:rsid w:val="003927CE"/>
    <w:rsid w:val="00392C5E"/>
    <w:rsid w:val="00396558"/>
    <w:rsid w:val="003A0FEC"/>
    <w:rsid w:val="003A412C"/>
    <w:rsid w:val="003A7E74"/>
    <w:rsid w:val="003B0215"/>
    <w:rsid w:val="003B04DE"/>
    <w:rsid w:val="003B5951"/>
    <w:rsid w:val="003C0382"/>
    <w:rsid w:val="003C532E"/>
    <w:rsid w:val="003C775C"/>
    <w:rsid w:val="003C7D93"/>
    <w:rsid w:val="003D1C65"/>
    <w:rsid w:val="003D7478"/>
    <w:rsid w:val="003E0862"/>
    <w:rsid w:val="003E0C63"/>
    <w:rsid w:val="003E3A8B"/>
    <w:rsid w:val="003E4AF7"/>
    <w:rsid w:val="003E6EBA"/>
    <w:rsid w:val="003F0D85"/>
    <w:rsid w:val="003F289A"/>
    <w:rsid w:val="003F6AC3"/>
    <w:rsid w:val="0040051A"/>
    <w:rsid w:val="004014E7"/>
    <w:rsid w:val="00402DF1"/>
    <w:rsid w:val="0040346D"/>
    <w:rsid w:val="00403709"/>
    <w:rsid w:val="00404058"/>
    <w:rsid w:val="004065E3"/>
    <w:rsid w:val="0040729B"/>
    <w:rsid w:val="00407467"/>
    <w:rsid w:val="0041002B"/>
    <w:rsid w:val="0041095D"/>
    <w:rsid w:val="00411D3E"/>
    <w:rsid w:val="00413C41"/>
    <w:rsid w:val="00415E46"/>
    <w:rsid w:val="0041647D"/>
    <w:rsid w:val="00416B63"/>
    <w:rsid w:val="004210CE"/>
    <w:rsid w:val="00423C7F"/>
    <w:rsid w:val="00424556"/>
    <w:rsid w:val="004247F8"/>
    <w:rsid w:val="00440054"/>
    <w:rsid w:val="00441E59"/>
    <w:rsid w:val="004479F1"/>
    <w:rsid w:val="00452EEB"/>
    <w:rsid w:val="00456285"/>
    <w:rsid w:val="00470408"/>
    <w:rsid w:val="004711E0"/>
    <w:rsid w:val="004712ED"/>
    <w:rsid w:val="00471548"/>
    <w:rsid w:val="0047189B"/>
    <w:rsid w:val="00472663"/>
    <w:rsid w:val="00473A38"/>
    <w:rsid w:val="00482E6A"/>
    <w:rsid w:val="00485C1D"/>
    <w:rsid w:val="004938FB"/>
    <w:rsid w:val="00496893"/>
    <w:rsid w:val="00497426"/>
    <w:rsid w:val="004A022D"/>
    <w:rsid w:val="004A2530"/>
    <w:rsid w:val="004A2874"/>
    <w:rsid w:val="004A2DA3"/>
    <w:rsid w:val="004B092A"/>
    <w:rsid w:val="004B2942"/>
    <w:rsid w:val="004B4392"/>
    <w:rsid w:val="004B4792"/>
    <w:rsid w:val="004C0F3F"/>
    <w:rsid w:val="004C3EBC"/>
    <w:rsid w:val="004C41C3"/>
    <w:rsid w:val="004C4563"/>
    <w:rsid w:val="004C4E9C"/>
    <w:rsid w:val="004C7A22"/>
    <w:rsid w:val="004D1D0C"/>
    <w:rsid w:val="004D3934"/>
    <w:rsid w:val="004D6A63"/>
    <w:rsid w:val="004E01AC"/>
    <w:rsid w:val="004E1BE1"/>
    <w:rsid w:val="004E496A"/>
    <w:rsid w:val="004E50E4"/>
    <w:rsid w:val="004E5980"/>
    <w:rsid w:val="004E63D3"/>
    <w:rsid w:val="004E6B46"/>
    <w:rsid w:val="004F075C"/>
    <w:rsid w:val="004F0A0F"/>
    <w:rsid w:val="004F1901"/>
    <w:rsid w:val="004F2ACB"/>
    <w:rsid w:val="004F3142"/>
    <w:rsid w:val="004F4450"/>
    <w:rsid w:val="004F76BD"/>
    <w:rsid w:val="00505B38"/>
    <w:rsid w:val="0050704E"/>
    <w:rsid w:val="00507272"/>
    <w:rsid w:val="005149FA"/>
    <w:rsid w:val="005200A7"/>
    <w:rsid w:val="00523FEE"/>
    <w:rsid w:val="00524515"/>
    <w:rsid w:val="00527617"/>
    <w:rsid w:val="005422DB"/>
    <w:rsid w:val="00543CAA"/>
    <w:rsid w:val="0054606A"/>
    <w:rsid w:val="0055015B"/>
    <w:rsid w:val="0055332A"/>
    <w:rsid w:val="005535E0"/>
    <w:rsid w:val="00555997"/>
    <w:rsid w:val="00557516"/>
    <w:rsid w:val="0056648C"/>
    <w:rsid w:val="005668C9"/>
    <w:rsid w:val="00570B77"/>
    <w:rsid w:val="005734DC"/>
    <w:rsid w:val="0057650F"/>
    <w:rsid w:val="005775F7"/>
    <w:rsid w:val="00577DDF"/>
    <w:rsid w:val="0058424B"/>
    <w:rsid w:val="00586E69"/>
    <w:rsid w:val="00587D36"/>
    <w:rsid w:val="00594715"/>
    <w:rsid w:val="00597953"/>
    <w:rsid w:val="005A03F2"/>
    <w:rsid w:val="005A0A71"/>
    <w:rsid w:val="005A25C3"/>
    <w:rsid w:val="005A35A1"/>
    <w:rsid w:val="005A68EB"/>
    <w:rsid w:val="005B1023"/>
    <w:rsid w:val="005B1F84"/>
    <w:rsid w:val="005B208C"/>
    <w:rsid w:val="005B296B"/>
    <w:rsid w:val="005C333A"/>
    <w:rsid w:val="005C428B"/>
    <w:rsid w:val="005C4A6C"/>
    <w:rsid w:val="005C61AC"/>
    <w:rsid w:val="005C7D3D"/>
    <w:rsid w:val="005D0E79"/>
    <w:rsid w:val="005D1664"/>
    <w:rsid w:val="005D45D3"/>
    <w:rsid w:val="005D49FC"/>
    <w:rsid w:val="005E2C1A"/>
    <w:rsid w:val="005E6C6A"/>
    <w:rsid w:val="005F021F"/>
    <w:rsid w:val="005F0865"/>
    <w:rsid w:val="005F3B12"/>
    <w:rsid w:val="00600DD1"/>
    <w:rsid w:val="00601546"/>
    <w:rsid w:val="00601E00"/>
    <w:rsid w:val="00607ABE"/>
    <w:rsid w:val="00613522"/>
    <w:rsid w:val="00614CC9"/>
    <w:rsid w:val="00632309"/>
    <w:rsid w:val="0063284E"/>
    <w:rsid w:val="00634923"/>
    <w:rsid w:val="00634B93"/>
    <w:rsid w:val="00636438"/>
    <w:rsid w:val="00640D8D"/>
    <w:rsid w:val="00642ED3"/>
    <w:rsid w:val="00643893"/>
    <w:rsid w:val="00643F81"/>
    <w:rsid w:val="0064738E"/>
    <w:rsid w:val="00647478"/>
    <w:rsid w:val="00651EC9"/>
    <w:rsid w:val="0065211D"/>
    <w:rsid w:val="00652286"/>
    <w:rsid w:val="00657833"/>
    <w:rsid w:val="00661193"/>
    <w:rsid w:val="00663228"/>
    <w:rsid w:val="00663FA3"/>
    <w:rsid w:val="00665156"/>
    <w:rsid w:val="00665D87"/>
    <w:rsid w:val="00670678"/>
    <w:rsid w:val="00671F67"/>
    <w:rsid w:val="00675F08"/>
    <w:rsid w:val="00675F93"/>
    <w:rsid w:val="00676922"/>
    <w:rsid w:val="006814FB"/>
    <w:rsid w:val="0068280A"/>
    <w:rsid w:val="006831FA"/>
    <w:rsid w:val="00685955"/>
    <w:rsid w:val="00685F47"/>
    <w:rsid w:val="0068742F"/>
    <w:rsid w:val="00687EB4"/>
    <w:rsid w:val="00690A8B"/>
    <w:rsid w:val="00690DCE"/>
    <w:rsid w:val="0069148D"/>
    <w:rsid w:val="006920FF"/>
    <w:rsid w:val="006927EF"/>
    <w:rsid w:val="006B19E1"/>
    <w:rsid w:val="006B5926"/>
    <w:rsid w:val="006C0A37"/>
    <w:rsid w:val="006C120C"/>
    <w:rsid w:val="006C3B00"/>
    <w:rsid w:val="006C3E89"/>
    <w:rsid w:val="006C717D"/>
    <w:rsid w:val="006C7C54"/>
    <w:rsid w:val="006D5E17"/>
    <w:rsid w:val="006D774F"/>
    <w:rsid w:val="006E0955"/>
    <w:rsid w:val="006E09E0"/>
    <w:rsid w:val="006E0B51"/>
    <w:rsid w:val="006E5BCB"/>
    <w:rsid w:val="006E7AD4"/>
    <w:rsid w:val="006F0502"/>
    <w:rsid w:val="006F0F19"/>
    <w:rsid w:val="006F2AAD"/>
    <w:rsid w:val="006F3468"/>
    <w:rsid w:val="006F3E51"/>
    <w:rsid w:val="007005D1"/>
    <w:rsid w:val="00701456"/>
    <w:rsid w:val="00705978"/>
    <w:rsid w:val="00710735"/>
    <w:rsid w:val="00713ABC"/>
    <w:rsid w:val="00716BB3"/>
    <w:rsid w:val="00716EE0"/>
    <w:rsid w:val="00720D68"/>
    <w:rsid w:val="0072633D"/>
    <w:rsid w:val="00727F8C"/>
    <w:rsid w:val="00731FC9"/>
    <w:rsid w:val="00733BF7"/>
    <w:rsid w:val="00736351"/>
    <w:rsid w:val="007370EC"/>
    <w:rsid w:val="0074182D"/>
    <w:rsid w:val="007418A3"/>
    <w:rsid w:val="00745BCB"/>
    <w:rsid w:val="007471DC"/>
    <w:rsid w:val="00751D4E"/>
    <w:rsid w:val="007545DF"/>
    <w:rsid w:val="00755205"/>
    <w:rsid w:val="007639E6"/>
    <w:rsid w:val="00765328"/>
    <w:rsid w:val="00765473"/>
    <w:rsid w:val="007735CA"/>
    <w:rsid w:val="00775094"/>
    <w:rsid w:val="00780913"/>
    <w:rsid w:val="00781F96"/>
    <w:rsid w:val="00783441"/>
    <w:rsid w:val="007923AF"/>
    <w:rsid w:val="007971FC"/>
    <w:rsid w:val="007A1E51"/>
    <w:rsid w:val="007A3FC0"/>
    <w:rsid w:val="007A7FD0"/>
    <w:rsid w:val="007B032D"/>
    <w:rsid w:val="007B086A"/>
    <w:rsid w:val="007B3DF3"/>
    <w:rsid w:val="007B430A"/>
    <w:rsid w:val="007B5FD3"/>
    <w:rsid w:val="007C007F"/>
    <w:rsid w:val="007C0326"/>
    <w:rsid w:val="007C1373"/>
    <w:rsid w:val="007C15A2"/>
    <w:rsid w:val="007C2D20"/>
    <w:rsid w:val="007C7D20"/>
    <w:rsid w:val="007D0795"/>
    <w:rsid w:val="007D448A"/>
    <w:rsid w:val="007D4C6D"/>
    <w:rsid w:val="007D510E"/>
    <w:rsid w:val="007D7CDD"/>
    <w:rsid w:val="007E19D6"/>
    <w:rsid w:val="007E427D"/>
    <w:rsid w:val="007E4DB2"/>
    <w:rsid w:val="007F26A8"/>
    <w:rsid w:val="007F28A0"/>
    <w:rsid w:val="007F2D10"/>
    <w:rsid w:val="007F6209"/>
    <w:rsid w:val="007F7641"/>
    <w:rsid w:val="0080098C"/>
    <w:rsid w:val="00801E6B"/>
    <w:rsid w:val="00804B13"/>
    <w:rsid w:val="00811367"/>
    <w:rsid w:val="008116F4"/>
    <w:rsid w:val="00813560"/>
    <w:rsid w:val="008145C8"/>
    <w:rsid w:val="0081495F"/>
    <w:rsid w:val="00817E9E"/>
    <w:rsid w:val="00824726"/>
    <w:rsid w:val="00827FF9"/>
    <w:rsid w:val="00831357"/>
    <w:rsid w:val="0083176B"/>
    <w:rsid w:val="008354D8"/>
    <w:rsid w:val="00835704"/>
    <w:rsid w:val="00835B78"/>
    <w:rsid w:val="00837CD9"/>
    <w:rsid w:val="00840079"/>
    <w:rsid w:val="0084010E"/>
    <w:rsid w:val="00840237"/>
    <w:rsid w:val="00840285"/>
    <w:rsid w:val="00846849"/>
    <w:rsid w:val="00850C4A"/>
    <w:rsid w:val="00851A61"/>
    <w:rsid w:val="00851ED3"/>
    <w:rsid w:val="00852376"/>
    <w:rsid w:val="0085251D"/>
    <w:rsid w:val="008525A6"/>
    <w:rsid w:val="00856278"/>
    <w:rsid w:val="00856FED"/>
    <w:rsid w:val="0085704D"/>
    <w:rsid w:val="0085774C"/>
    <w:rsid w:val="00860BFC"/>
    <w:rsid w:val="00861554"/>
    <w:rsid w:val="0086323A"/>
    <w:rsid w:val="00866CFB"/>
    <w:rsid w:val="00866D90"/>
    <w:rsid w:val="00871C84"/>
    <w:rsid w:val="00872E4F"/>
    <w:rsid w:val="00873C88"/>
    <w:rsid w:val="0087720A"/>
    <w:rsid w:val="00890337"/>
    <w:rsid w:val="00891D9D"/>
    <w:rsid w:val="00895377"/>
    <w:rsid w:val="00895DA7"/>
    <w:rsid w:val="00895DAE"/>
    <w:rsid w:val="00896A8E"/>
    <w:rsid w:val="00897ED9"/>
    <w:rsid w:val="008A23BA"/>
    <w:rsid w:val="008A3924"/>
    <w:rsid w:val="008A4237"/>
    <w:rsid w:val="008A614D"/>
    <w:rsid w:val="008B1CC5"/>
    <w:rsid w:val="008B3E3A"/>
    <w:rsid w:val="008C2FE6"/>
    <w:rsid w:val="008C6468"/>
    <w:rsid w:val="008D5D13"/>
    <w:rsid w:val="008D752C"/>
    <w:rsid w:val="008E0BBF"/>
    <w:rsid w:val="008E0F61"/>
    <w:rsid w:val="008E1EE6"/>
    <w:rsid w:val="008E35BA"/>
    <w:rsid w:val="008E4215"/>
    <w:rsid w:val="008E4296"/>
    <w:rsid w:val="008E608F"/>
    <w:rsid w:val="008E60B6"/>
    <w:rsid w:val="008E6FF2"/>
    <w:rsid w:val="008E7A4B"/>
    <w:rsid w:val="008F19D5"/>
    <w:rsid w:val="008F2F73"/>
    <w:rsid w:val="008F51A6"/>
    <w:rsid w:val="008F557C"/>
    <w:rsid w:val="008F64BD"/>
    <w:rsid w:val="008F6933"/>
    <w:rsid w:val="009036E5"/>
    <w:rsid w:val="009038C1"/>
    <w:rsid w:val="00907513"/>
    <w:rsid w:val="00907548"/>
    <w:rsid w:val="00907D1D"/>
    <w:rsid w:val="00912318"/>
    <w:rsid w:val="00913FDE"/>
    <w:rsid w:val="00914DCA"/>
    <w:rsid w:val="00916051"/>
    <w:rsid w:val="00916C2C"/>
    <w:rsid w:val="00917C7F"/>
    <w:rsid w:val="009210CD"/>
    <w:rsid w:val="009222B1"/>
    <w:rsid w:val="009258CD"/>
    <w:rsid w:val="00930DEE"/>
    <w:rsid w:val="00931EDC"/>
    <w:rsid w:val="00934570"/>
    <w:rsid w:val="0093515B"/>
    <w:rsid w:val="00936464"/>
    <w:rsid w:val="009423B4"/>
    <w:rsid w:val="00942AE4"/>
    <w:rsid w:val="009441B5"/>
    <w:rsid w:val="00944C6A"/>
    <w:rsid w:val="00945CCF"/>
    <w:rsid w:val="009465DD"/>
    <w:rsid w:val="00946E95"/>
    <w:rsid w:val="00950D37"/>
    <w:rsid w:val="00950FA4"/>
    <w:rsid w:val="00954A99"/>
    <w:rsid w:val="009567AB"/>
    <w:rsid w:val="00956D6E"/>
    <w:rsid w:val="00963626"/>
    <w:rsid w:val="00966801"/>
    <w:rsid w:val="00975F5E"/>
    <w:rsid w:val="00980E02"/>
    <w:rsid w:val="00981EFE"/>
    <w:rsid w:val="0098450B"/>
    <w:rsid w:val="0098734E"/>
    <w:rsid w:val="00995F11"/>
    <w:rsid w:val="00996E69"/>
    <w:rsid w:val="009975AC"/>
    <w:rsid w:val="009A0E90"/>
    <w:rsid w:val="009A4915"/>
    <w:rsid w:val="009B0979"/>
    <w:rsid w:val="009B2B9C"/>
    <w:rsid w:val="009B7F52"/>
    <w:rsid w:val="009C0C0C"/>
    <w:rsid w:val="009C0C7E"/>
    <w:rsid w:val="009C1829"/>
    <w:rsid w:val="009C64BE"/>
    <w:rsid w:val="009D3F86"/>
    <w:rsid w:val="009E0EB2"/>
    <w:rsid w:val="009E368D"/>
    <w:rsid w:val="009E4594"/>
    <w:rsid w:val="009E6FC2"/>
    <w:rsid w:val="009E7101"/>
    <w:rsid w:val="009E7C56"/>
    <w:rsid w:val="009F1B70"/>
    <w:rsid w:val="009F2CC7"/>
    <w:rsid w:val="009F64CD"/>
    <w:rsid w:val="009F6D12"/>
    <w:rsid w:val="00A00A35"/>
    <w:rsid w:val="00A028F4"/>
    <w:rsid w:val="00A04157"/>
    <w:rsid w:val="00A06477"/>
    <w:rsid w:val="00A0738B"/>
    <w:rsid w:val="00A10ED1"/>
    <w:rsid w:val="00A11A5E"/>
    <w:rsid w:val="00A140E7"/>
    <w:rsid w:val="00A14C42"/>
    <w:rsid w:val="00A1741E"/>
    <w:rsid w:val="00A22804"/>
    <w:rsid w:val="00A22AE0"/>
    <w:rsid w:val="00A24112"/>
    <w:rsid w:val="00A25E70"/>
    <w:rsid w:val="00A30E6C"/>
    <w:rsid w:val="00A338CB"/>
    <w:rsid w:val="00A34BEF"/>
    <w:rsid w:val="00A408F1"/>
    <w:rsid w:val="00A42DF3"/>
    <w:rsid w:val="00A43EDD"/>
    <w:rsid w:val="00A50053"/>
    <w:rsid w:val="00A5453C"/>
    <w:rsid w:val="00A54CEB"/>
    <w:rsid w:val="00A56432"/>
    <w:rsid w:val="00A60345"/>
    <w:rsid w:val="00A6423C"/>
    <w:rsid w:val="00A65757"/>
    <w:rsid w:val="00A724CF"/>
    <w:rsid w:val="00A734EF"/>
    <w:rsid w:val="00A7437B"/>
    <w:rsid w:val="00A74F20"/>
    <w:rsid w:val="00A7522C"/>
    <w:rsid w:val="00A754D0"/>
    <w:rsid w:val="00A7725A"/>
    <w:rsid w:val="00A8116B"/>
    <w:rsid w:val="00A8797D"/>
    <w:rsid w:val="00A90272"/>
    <w:rsid w:val="00A90751"/>
    <w:rsid w:val="00A907C5"/>
    <w:rsid w:val="00A92E14"/>
    <w:rsid w:val="00A94646"/>
    <w:rsid w:val="00A951F2"/>
    <w:rsid w:val="00AA03EF"/>
    <w:rsid w:val="00AA476C"/>
    <w:rsid w:val="00AA5705"/>
    <w:rsid w:val="00AB0838"/>
    <w:rsid w:val="00AB102D"/>
    <w:rsid w:val="00AC1841"/>
    <w:rsid w:val="00AC4252"/>
    <w:rsid w:val="00AC6AFB"/>
    <w:rsid w:val="00AC6F7C"/>
    <w:rsid w:val="00AC7044"/>
    <w:rsid w:val="00AD0AE4"/>
    <w:rsid w:val="00AD0B82"/>
    <w:rsid w:val="00AD1222"/>
    <w:rsid w:val="00AD12F1"/>
    <w:rsid w:val="00AD2742"/>
    <w:rsid w:val="00AD3F92"/>
    <w:rsid w:val="00AD4A91"/>
    <w:rsid w:val="00AD6283"/>
    <w:rsid w:val="00AE79CF"/>
    <w:rsid w:val="00AF4D1B"/>
    <w:rsid w:val="00AF7F32"/>
    <w:rsid w:val="00B00009"/>
    <w:rsid w:val="00B06B9B"/>
    <w:rsid w:val="00B07466"/>
    <w:rsid w:val="00B158D1"/>
    <w:rsid w:val="00B20302"/>
    <w:rsid w:val="00B213BD"/>
    <w:rsid w:val="00B21A69"/>
    <w:rsid w:val="00B23849"/>
    <w:rsid w:val="00B400DD"/>
    <w:rsid w:val="00B41D3D"/>
    <w:rsid w:val="00B434E9"/>
    <w:rsid w:val="00B5021D"/>
    <w:rsid w:val="00B53CB2"/>
    <w:rsid w:val="00B55DFC"/>
    <w:rsid w:val="00B5700B"/>
    <w:rsid w:val="00B61038"/>
    <w:rsid w:val="00B65A52"/>
    <w:rsid w:val="00B70D33"/>
    <w:rsid w:val="00B731C7"/>
    <w:rsid w:val="00B7726A"/>
    <w:rsid w:val="00B81B6F"/>
    <w:rsid w:val="00B8266C"/>
    <w:rsid w:val="00B82862"/>
    <w:rsid w:val="00B83C78"/>
    <w:rsid w:val="00B84C2C"/>
    <w:rsid w:val="00B9014A"/>
    <w:rsid w:val="00B920F4"/>
    <w:rsid w:val="00B9297D"/>
    <w:rsid w:val="00B92F4D"/>
    <w:rsid w:val="00BA3AAB"/>
    <w:rsid w:val="00BA5A5B"/>
    <w:rsid w:val="00BA6AA0"/>
    <w:rsid w:val="00BA7ABF"/>
    <w:rsid w:val="00BB18E9"/>
    <w:rsid w:val="00BB4850"/>
    <w:rsid w:val="00BB6A03"/>
    <w:rsid w:val="00BC4CB2"/>
    <w:rsid w:val="00BC7744"/>
    <w:rsid w:val="00BD08FA"/>
    <w:rsid w:val="00BD15D5"/>
    <w:rsid w:val="00BD48AB"/>
    <w:rsid w:val="00BD4910"/>
    <w:rsid w:val="00BD638B"/>
    <w:rsid w:val="00BD6C76"/>
    <w:rsid w:val="00BD7DF9"/>
    <w:rsid w:val="00BE0C70"/>
    <w:rsid w:val="00BE22BC"/>
    <w:rsid w:val="00BE4583"/>
    <w:rsid w:val="00BE5BC6"/>
    <w:rsid w:val="00BE7D91"/>
    <w:rsid w:val="00BF183F"/>
    <w:rsid w:val="00BF37B2"/>
    <w:rsid w:val="00BF3D8C"/>
    <w:rsid w:val="00BF53B6"/>
    <w:rsid w:val="00BF541E"/>
    <w:rsid w:val="00BF712B"/>
    <w:rsid w:val="00C005A9"/>
    <w:rsid w:val="00C0285C"/>
    <w:rsid w:val="00C044DF"/>
    <w:rsid w:val="00C05879"/>
    <w:rsid w:val="00C2039F"/>
    <w:rsid w:val="00C23BE0"/>
    <w:rsid w:val="00C25480"/>
    <w:rsid w:val="00C26D07"/>
    <w:rsid w:val="00C30A0D"/>
    <w:rsid w:val="00C31CC3"/>
    <w:rsid w:val="00C31D9B"/>
    <w:rsid w:val="00C3596B"/>
    <w:rsid w:val="00C37B0A"/>
    <w:rsid w:val="00C406AD"/>
    <w:rsid w:val="00C4078B"/>
    <w:rsid w:val="00C407EA"/>
    <w:rsid w:val="00C46ACD"/>
    <w:rsid w:val="00C53379"/>
    <w:rsid w:val="00C53AA0"/>
    <w:rsid w:val="00C62A90"/>
    <w:rsid w:val="00C63F32"/>
    <w:rsid w:val="00C703A5"/>
    <w:rsid w:val="00C7198D"/>
    <w:rsid w:val="00C71F8E"/>
    <w:rsid w:val="00C73B45"/>
    <w:rsid w:val="00C76B8F"/>
    <w:rsid w:val="00C815C0"/>
    <w:rsid w:val="00C84112"/>
    <w:rsid w:val="00C84505"/>
    <w:rsid w:val="00C87F81"/>
    <w:rsid w:val="00C91579"/>
    <w:rsid w:val="00C91A89"/>
    <w:rsid w:val="00C9558F"/>
    <w:rsid w:val="00CA249D"/>
    <w:rsid w:val="00CA2630"/>
    <w:rsid w:val="00CA2985"/>
    <w:rsid w:val="00CA4027"/>
    <w:rsid w:val="00CA7966"/>
    <w:rsid w:val="00CB03EE"/>
    <w:rsid w:val="00CB04FA"/>
    <w:rsid w:val="00CB48EC"/>
    <w:rsid w:val="00CB7FDF"/>
    <w:rsid w:val="00CC0D0B"/>
    <w:rsid w:val="00CC4E42"/>
    <w:rsid w:val="00CC6DA4"/>
    <w:rsid w:val="00CD0851"/>
    <w:rsid w:val="00CD1978"/>
    <w:rsid w:val="00CD1D67"/>
    <w:rsid w:val="00CD2D9D"/>
    <w:rsid w:val="00CD702E"/>
    <w:rsid w:val="00CE0AA5"/>
    <w:rsid w:val="00CE22DB"/>
    <w:rsid w:val="00CE2C4E"/>
    <w:rsid w:val="00CE50F3"/>
    <w:rsid w:val="00CE574F"/>
    <w:rsid w:val="00CE580C"/>
    <w:rsid w:val="00CF0318"/>
    <w:rsid w:val="00CF0F09"/>
    <w:rsid w:val="00CF10C7"/>
    <w:rsid w:val="00CF3D35"/>
    <w:rsid w:val="00CF4C03"/>
    <w:rsid w:val="00CF534D"/>
    <w:rsid w:val="00CF5B64"/>
    <w:rsid w:val="00CF7212"/>
    <w:rsid w:val="00D10C4C"/>
    <w:rsid w:val="00D12846"/>
    <w:rsid w:val="00D12F37"/>
    <w:rsid w:val="00D169C3"/>
    <w:rsid w:val="00D205AC"/>
    <w:rsid w:val="00D20FDC"/>
    <w:rsid w:val="00D21293"/>
    <w:rsid w:val="00D21AD0"/>
    <w:rsid w:val="00D24964"/>
    <w:rsid w:val="00D2559B"/>
    <w:rsid w:val="00D26F6B"/>
    <w:rsid w:val="00D27ECA"/>
    <w:rsid w:val="00D33417"/>
    <w:rsid w:val="00D3459D"/>
    <w:rsid w:val="00D35EC9"/>
    <w:rsid w:val="00D47F36"/>
    <w:rsid w:val="00D51432"/>
    <w:rsid w:val="00D5243E"/>
    <w:rsid w:val="00D52B46"/>
    <w:rsid w:val="00D54B8E"/>
    <w:rsid w:val="00D60726"/>
    <w:rsid w:val="00D60F6D"/>
    <w:rsid w:val="00D637F5"/>
    <w:rsid w:val="00D70FEE"/>
    <w:rsid w:val="00D7153F"/>
    <w:rsid w:val="00D72371"/>
    <w:rsid w:val="00D72572"/>
    <w:rsid w:val="00D74043"/>
    <w:rsid w:val="00D76D83"/>
    <w:rsid w:val="00D77B86"/>
    <w:rsid w:val="00D80637"/>
    <w:rsid w:val="00D82590"/>
    <w:rsid w:val="00D82752"/>
    <w:rsid w:val="00D828D2"/>
    <w:rsid w:val="00D8388C"/>
    <w:rsid w:val="00D86277"/>
    <w:rsid w:val="00D87BA6"/>
    <w:rsid w:val="00D900E2"/>
    <w:rsid w:val="00D910AD"/>
    <w:rsid w:val="00D978A4"/>
    <w:rsid w:val="00DA1521"/>
    <w:rsid w:val="00DA5AC6"/>
    <w:rsid w:val="00DA7319"/>
    <w:rsid w:val="00DB38ED"/>
    <w:rsid w:val="00DB3DE8"/>
    <w:rsid w:val="00DB6140"/>
    <w:rsid w:val="00DB73AE"/>
    <w:rsid w:val="00DB7DC8"/>
    <w:rsid w:val="00DC1A9A"/>
    <w:rsid w:val="00DC43C7"/>
    <w:rsid w:val="00DD15E6"/>
    <w:rsid w:val="00DD1974"/>
    <w:rsid w:val="00DD1B0F"/>
    <w:rsid w:val="00DD4F91"/>
    <w:rsid w:val="00DD67B9"/>
    <w:rsid w:val="00DD711C"/>
    <w:rsid w:val="00DD7E9F"/>
    <w:rsid w:val="00DE0A1A"/>
    <w:rsid w:val="00DE0D88"/>
    <w:rsid w:val="00DE3823"/>
    <w:rsid w:val="00DE6184"/>
    <w:rsid w:val="00DF1FA2"/>
    <w:rsid w:val="00DF3658"/>
    <w:rsid w:val="00DF650F"/>
    <w:rsid w:val="00E043D7"/>
    <w:rsid w:val="00E06189"/>
    <w:rsid w:val="00E10320"/>
    <w:rsid w:val="00E11DC1"/>
    <w:rsid w:val="00E12300"/>
    <w:rsid w:val="00E300DB"/>
    <w:rsid w:val="00E43774"/>
    <w:rsid w:val="00E468A1"/>
    <w:rsid w:val="00E46A77"/>
    <w:rsid w:val="00E51391"/>
    <w:rsid w:val="00E5752A"/>
    <w:rsid w:val="00E6144A"/>
    <w:rsid w:val="00E645D9"/>
    <w:rsid w:val="00E647D1"/>
    <w:rsid w:val="00E651FC"/>
    <w:rsid w:val="00E66B48"/>
    <w:rsid w:val="00E748E0"/>
    <w:rsid w:val="00E8179E"/>
    <w:rsid w:val="00E82153"/>
    <w:rsid w:val="00E842C9"/>
    <w:rsid w:val="00E937CB"/>
    <w:rsid w:val="00E9428D"/>
    <w:rsid w:val="00E94EED"/>
    <w:rsid w:val="00EA1E06"/>
    <w:rsid w:val="00EA507B"/>
    <w:rsid w:val="00EB393C"/>
    <w:rsid w:val="00EB5AF0"/>
    <w:rsid w:val="00EB621B"/>
    <w:rsid w:val="00EB6E4F"/>
    <w:rsid w:val="00EB7847"/>
    <w:rsid w:val="00EC1783"/>
    <w:rsid w:val="00EC1B71"/>
    <w:rsid w:val="00EC1DAE"/>
    <w:rsid w:val="00EC412A"/>
    <w:rsid w:val="00EC471F"/>
    <w:rsid w:val="00ED0063"/>
    <w:rsid w:val="00ED28D2"/>
    <w:rsid w:val="00ED4011"/>
    <w:rsid w:val="00ED696F"/>
    <w:rsid w:val="00EE03E5"/>
    <w:rsid w:val="00EE3C32"/>
    <w:rsid w:val="00EE4591"/>
    <w:rsid w:val="00EE55B8"/>
    <w:rsid w:val="00EE5D8B"/>
    <w:rsid w:val="00EF1DF8"/>
    <w:rsid w:val="00EF3450"/>
    <w:rsid w:val="00F000C5"/>
    <w:rsid w:val="00F00B03"/>
    <w:rsid w:val="00F043B6"/>
    <w:rsid w:val="00F06C6B"/>
    <w:rsid w:val="00F15EB4"/>
    <w:rsid w:val="00F17848"/>
    <w:rsid w:val="00F219B7"/>
    <w:rsid w:val="00F2637C"/>
    <w:rsid w:val="00F27537"/>
    <w:rsid w:val="00F32163"/>
    <w:rsid w:val="00F325E8"/>
    <w:rsid w:val="00F329EA"/>
    <w:rsid w:val="00F33FAA"/>
    <w:rsid w:val="00F35F53"/>
    <w:rsid w:val="00F42866"/>
    <w:rsid w:val="00F42A9F"/>
    <w:rsid w:val="00F54138"/>
    <w:rsid w:val="00F55A89"/>
    <w:rsid w:val="00F62E63"/>
    <w:rsid w:val="00F665C1"/>
    <w:rsid w:val="00F66EF0"/>
    <w:rsid w:val="00F67195"/>
    <w:rsid w:val="00F71CBB"/>
    <w:rsid w:val="00F724DD"/>
    <w:rsid w:val="00F74662"/>
    <w:rsid w:val="00F77FDE"/>
    <w:rsid w:val="00F80242"/>
    <w:rsid w:val="00F83B01"/>
    <w:rsid w:val="00F83B61"/>
    <w:rsid w:val="00F83D41"/>
    <w:rsid w:val="00F92808"/>
    <w:rsid w:val="00F95068"/>
    <w:rsid w:val="00F95BE4"/>
    <w:rsid w:val="00FA05A0"/>
    <w:rsid w:val="00FA12C2"/>
    <w:rsid w:val="00FA4367"/>
    <w:rsid w:val="00FA5B87"/>
    <w:rsid w:val="00FB137E"/>
    <w:rsid w:val="00FB3C7D"/>
    <w:rsid w:val="00FB5244"/>
    <w:rsid w:val="00FB5B0E"/>
    <w:rsid w:val="00FC304B"/>
    <w:rsid w:val="00FC3CBD"/>
    <w:rsid w:val="00FC71EC"/>
    <w:rsid w:val="00FD20DE"/>
    <w:rsid w:val="00FD3898"/>
    <w:rsid w:val="00FD4287"/>
    <w:rsid w:val="00FD4A8A"/>
    <w:rsid w:val="00FD6C19"/>
    <w:rsid w:val="00FE42D4"/>
    <w:rsid w:val="00FE560A"/>
    <w:rsid w:val="00FE5ECB"/>
    <w:rsid w:val="00FF1068"/>
    <w:rsid w:val="00FF111E"/>
    <w:rsid w:val="00FF3437"/>
    <w:rsid w:val="00FF35D6"/>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820E"/>
  <w15:chartTrackingRefBased/>
  <w15:docId w15:val="{9787BE14-969B-4C55-9D0A-01064FF8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2C3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176B"/>
    <w:rPr>
      <w:rFonts w:ascii="Arial" w:eastAsia="Arial" w:hAnsi="Arial" w:cs="Arial"/>
      <w:sz w:val="19"/>
      <w:szCs w:val="19"/>
    </w:rPr>
  </w:style>
  <w:style w:type="character" w:customStyle="1" w:styleId="2">
    <w:name w:val="Основной текст (2)_"/>
    <w:basedOn w:val="a0"/>
    <w:link w:val="20"/>
    <w:rsid w:val="0083176B"/>
    <w:rPr>
      <w:rFonts w:ascii="Arial" w:eastAsia="Arial" w:hAnsi="Arial" w:cs="Arial"/>
      <w:b/>
      <w:bCs/>
      <w:sz w:val="16"/>
      <w:szCs w:val="16"/>
    </w:rPr>
  </w:style>
  <w:style w:type="paragraph" w:customStyle="1" w:styleId="1">
    <w:name w:val="Основной текст1"/>
    <w:basedOn w:val="a"/>
    <w:link w:val="a3"/>
    <w:rsid w:val="0083176B"/>
    <w:pPr>
      <w:spacing w:line="247" w:lineRule="auto"/>
      <w:ind w:firstLine="400"/>
    </w:pPr>
    <w:rPr>
      <w:rFonts w:ascii="Arial" w:eastAsia="Arial" w:hAnsi="Arial" w:cs="Arial"/>
      <w:color w:val="auto"/>
      <w:sz w:val="19"/>
      <w:szCs w:val="19"/>
      <w:lang w:eastAsia="en-US" w:bidi="ar-SA"/>
    </w:rPr>
  </w:style>
  <w:style w:type="paragraph" w:customStyle="1" w:styleId="20">
    <w:name w:val="Основной текст (2)"/>
    <w:basedOn w:val="a"/>
    <w:link w:val="2"/>
    <w:rsid w:val="0083176B"/>
    <w:pPr>
      <w:spacing w:after="120"/>
    </w:pPr>
    <w:rPr>
      <w:rFonts w:ascii="Arial" w:eastAsia="Arial" w:hAnsi="Arial" w:cs="Arial"/>
      <w:b/>
      <w:bCs/>
      <w:color w:val="auto"/>
      <w:sz w:val="16"/>
      <w:szCs w:val="16"/>
      <w:lang w:eastAsia="en-US" w:bidi="ar-SA"/>
    </w:rPr>
  </w:style>
  <w:style w:type="paragraph" w:styleId="a4">
    <w:name w:val="List Paragraph"/>
    <w:basedOn w:val="a"/>
    <w:uiPriority w:val="34"/>
    <w:qFormat/>
    <w:rsid w:val="0083176B"/>
    <w:pPr>
      <w:ind w:left="720"/>
      <w:contextualSpacing/>
    </w:pPr>
  </w:style>
  <w:style w:type="paragraph" w:styleId="a5">
    <w:name w:val="Balloon Text"/>
    <w:basedOn w:val="a"/>
    <w:link w:val="a6"/>
    <w:uiPriority w:val="99"/>
    <w:semiHidden/>
    <w:unhideWhenUsed/>
    <w:rsid w:val="00E645D9"/>
    <w:rPr>
      <w:rFonts w:ascii="Segoe UI" w:hAnsi="Segoe UI" w:cs="Segoe UI"/>
      <w:sz w:val="18"/>
      <w:szCs w:val="18"/>
    </w:rPr>
  </w:style>
  <w:style w:type="character" w:customStyle="1" w:styleId="a6">
    <w:name w:val="Текст выноски Знак"/>
    <w:basedOn w:val="a0"/>
    <w:link w:val="a5"/>
    <w:uiPriority w:val="99"/>
    <w:semiHidden/>
    <w:rsid w:val="00E645D9"/>
    <w:rPr>
      <w:rFonts w:ascii="Segoe UI" w:eastAsia="Courier New" w:hAnsi="Segoe UI" w:cs="Segoe UI"/>
      <w:color w:val="000000"/>
      <w:sz w:val="18"/>
      <w:szCs w:val="18"/>
      <w:lang w:eastAsia="ru-RU" w:bidi="ru-RU"/>
    </w:r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8"/>
    <w:unhideWhenUsed/>
    <w:rsid w:val="00950FA4"/>
    <w:rPr>
      <w:sz w:val="20"/>
      <w:szCs w:val="20"/>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7"/>
    <w:rsid w:val="00950FA4"/>
    <w:rPr>
      <w:rFonts w:ascii="Courier New" w:eastAsia="Courier New" w:hAnsi="Courier New" w:cs="Courier New"/>
      <w:color w:val="000000"/>
      <w:sz w:val="20"/>
      <w:szCs w:val="20"/>
      <w:lang w:eastAsia="ru-RU" w:bidi="ru-RU"/>
    </w:rPr>
  </w:style>
  <w:style w:type="character" w:styleId="a9">
    <w:name w:val="footnote reference"/>
    <w:basedOn w:val="a0"/>
    <w:unhideWhenUsed/>
    <w:rsid w:val="00950FA4"/>
    <w:rPr>
      <w:vertAlign w:val="superscript"/>
    </w:rPr>
  </w:style>
  <w:style w:type="paragraph" w:customStyle="1" w:styleId="Default">
    <w:name w:val="Default"/>
    <w:rsid w:val="00A642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rsid w:val="00240544"/>
    <w:rPr>
      <w:color w:val="0000FF"/>
      <w:u w:val="single"/>
    </w:rPr>
  </w:style>
  <w:style w:type="paragraph" w:customStyle="1" w:styleId="regular-text">
    <w:name w:val="regular-text"/>
    <w:basedOn w:val="a"/>
    <w:rsid w:val="004014E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temtext1">
    <w:name w:val="itemtext1"/>
    <w:rsid w:val="00D900E2"/>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3390">
      <w:bodyDiv w:val="1"/>
      <w:marLeft w:val="0"/>
      <w:marRight w:val="0"/>
      <w:marTop w:val="0"/>
      <w:marBottom w:val="0"/>
      <w:divBdr>
        <w:top w:val="none" w:sz="0" w:space="0" w:color="auto"/>
        <w:left w:val="none" w:sz="0" w:space="0" w:color="auto"/>
        <w:bottom w:val="none" w:sz="0" w:space="0" w:color="auto"/>
        <w:right w:val="none" w:sz="0" w:space="0" w:color="auto"/>
      </w:divBdr>
      <w:divsChild>
        <w:div w:id="1271090925">
          <w:marLeft w:val="-225"/>
          <w:marRight w:val="-225"/>
          <w:marTop w:val="0"/>
          <w:marBottom w:val="0"/>
          <w:divBdr>
            <w:top w:val="none" w:sz="0" w:space="0" w:color="auto"/>
            <w:left w:val="none" w:sz="0" w:space="0" w:color="auto"/>
            <w:bottom w:val="none" w:sz="0" w:space="0" w:color="auto"/>
            <w:right w:val="none" w:sz="0" w:space="0" w:color="auto"/>
          </w:divBdr>
          <w:divsChild>
            <w:div w:id="2028555611">
              <w:marLeft w:val="0"/>
              <w:marRight w:val="0"/>
              <w:marTop w:val="0"/>
              <w:marBottom w:val="0"/>
              <w:divBdr>
                <w:top w:val="none" w:sz="0" w:space="0" w:color="auto"/>
                <w:left w:val="none" w:sz="0" w:space="0" w:color="auto"/>
                <w:bottom w:val="none" w:sz="0" w:space="0" w:color="auto"/>
                <w:right w:val="none" w:sz="0" w:space="0" w:color="auto"/>
              </w:divBdr>
              <w:divsChild>
                <w:div w:id="5607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6949">
          <w:marLeft w:val="-225"/>
          <w:marRight w:val="-225"/>
          <w:marTop w:val="0"/>
          <w:marBottom w:val="0"/>
          <w:divBdr>
            <w:top w:val="none" w:sz="0" w:space="0" w:color="auto"/>
            <w:left w:val="none" w:sz="0" w:space="0" w:color="auto"/>
            <w:bottom w:val="none" w:sz="0" w:space="0" w:color="auto"/>
            <w:right w:val="none" w:sz="0" w:space="0" w:color="auto"/>
          </w:divBdr>
          <w:divsChild>
            <w:div w:id="1697807206">
              <w:marLeft w:val="0"/>
              <w:marRight w:val="0"/>
              <w:marTop w:val="0"/>
              <w:marBottom w:val="0"/>
              <w:divBdr>
                <w:top w:val="none" w:sz="0" w:space="0" w:color="auto"/>
                <w:left w:val="none" w:sz="0" w:space="0" w:color="auto"/>
                <w:bottom w:val="none" w:sz="0" w:space="0" w:color="auto"/>
                <w:right w:val="none" w:sz="0" w:space="0" w:color="auto"/>
              </w:divBdr>
              <w:divsChild>
                <w:div w:id="1168979147">
                  <w:marLeft w:val="-225"/>
                  <w:marRight w:val="-225"/>
                  <w:marTop w:val="0"/>
                  <w:marBottom w:val="0"/>
                  <w:divBdr>
                    <w:top w:val="none" w:sz="0" w:space="0" w:color="auto"/>
                    <w:left w:val="none" w:sz="0" w:space="0" w:color="auto"/>
                    <w:bottom w:val="none" w:sz="0" w:space="0" w:color="auto"/>
                    <w:right w:val="none" w:sz="0" w:space="0" w:color="auto"/>
                  </w:divBdr>
                  <w:divsChild>
                    <w:div w:id="381253956">
                      <w:marLeft w:val="0"/>
                      <w:marRight w:val="0"/>
                      <w:marTop w:val="0"/>
                      <w:marBottom w:val="0"/>
                      <w:divBdr>
                        <w:top w:val="none" w:sz="0" w:space="0" w:color="auto"/>
                        <w:left w:val="none" w:sz="0" w:space="0" w:color="auto"/>
                        <w:bottom w:val="none" w:sz="0" w:space="0" w:color="auto"/>
                        <w:right w:val="none" w:sz="0" w:space="0" w:color="auto"/>
                      </w:divBdr>
                      <w:divsChild>
                        <w:div w:id="19415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1704">
      <w:bodyDiv w:val="1"/>
      <w:marLeft w:val="0"/>
      <w:marRight w:val="0"/>
      <w:marTop w:val="0"/>
      <w:marBottom w:val="0"/>
      <w:divBdr>
        <w:top w:val="none" w:sz="0" w:space="0" w:color="auto"/>
        <w:left w:val="none" w:sz="0" w:space="0" w:color="auto"/>
        <w:bottom w:val="none" w:sz="0" w:space="0" w:color="auto"/>
        <w:right w:val="none" w:sz="0" w:space="0" w:color="auto"/>
      </w:divBdr>
    </w:div>
    <w:div w:id="13900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593C-4947-424E-8FAA-88409B57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Юткина Марьяна Юрьевна</dc:creator>
  <cp:keywords/>
  <dc:description/>
  <cp:lastModifiedBy>Юткина Марьяна Юрьевна</cp:lastModifiedBy>
  <cp:revision>61</cp:revision>
  <cp:lastPrinted>2023-03-27T14:13:00Z</cp:lastPrinted>
  <dcterms:created xsi:type="dcterms:W3CDTF">2024-04-09T11:24:00Z</dcterms:created>
  <dcterms:modified xsi:type="dcterms:W3CDTF">2024-04-12T13:15:00Z</dcterms:modified>
</cp:coreProperties>
</file>