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F8510" w14:textId="04A72B12" w:rsidR="00DA6AB8" w:rsidRPr="00FB4BED" w:rsidRDefault="002609B4" w:rsidP="00E55FBD">
      <w:pPr>
        <w:rPr>
          <w:rFonts w:ascii="Verdana" w:hAnsi="Verdana" w:cs="Times New Roman"/>
          <w:sz w:val="16"/>
          <w:szCs w:val="16"/>
        </w:rPr>
      </w:pPr>
      <w:r w:rsidRPr="00FB4BED">
        <w:rPr>
          <w:rFonts w:ascii="Verdana" w:hAnsi="Verdana" w:cs="Times New Roman"/>
          <w:sz w:val="16"/>
          <w:szCs w:val="16"/>
        </w:rPr>
        <w:t xml:space="preserve"> </w:t>
      </w:r>
    </w:p>
    <w:p w14:paraId="7D40990A" w14:textId="77777777" w:rsidR="00DA6AB8" w:rsidRPr="00FB4BED" w:rsidRDefault="00DA6AB8">
      <w:pPr>
        <w:rPr>
          <w:rFonts w:ascii="Verdana" w:hAnsi="Verdana" w:cs="Times New Roman"/>
          <w:sz w:val="16"/>
          <w:szCs w:val="16"/>
        </w:rPr>
      </w:pPr>
    </w:p>
    <w:p w14:paraId="323C19DB" w14:textId="77777777" w:rsidR="00365862" w:rsidRPr="00FB4BED" w:rsidRDefault="00365862">
      <w:pPr>
        <w:rPr>
          <w:rFonts w:ascii="Verdana" w:hAnsi="Verdana" w:cs="Times New Roman"/>
          <w:sz w:val="16"/>
          <w:szCs w:val="16"/>
        </w:rPr>
      </w:pPr>
    </w:p>
    <w:p w14:paraId="46B8BEE6" w14:textId="77777777" w:rsidR="00365862" w:rsidRPr="00FB4BED" w:rsidRDefault="00365862">
      <w:pPr>
        <w:rPr>
          <w:rFonts w:ascii="Verdana" w:hAnsi="Verdana" w:cs="Times New Roman"/>
          <w:sz w:val="16"/>
          <w:szCs w:val="16"/>
        </w:rPr>
      </w:pPr>
    </w:p>
    <w:p w14:paraId="38805D50" w14:textId="77777777" w:rsidR="00365862" w:rsidRPr="00FB4BED" w:rsidRDefault="00365862">
      <w:pPr>
        <w:rPr>
          <w:rFonts w:ascii="Verdana" w:hAnsi="Verdana" w:cs="Times New Roman"/>
          <w:sz w:val="16"/>
          <w:szCs w:val="16"/>
        </w:rPr>
      </w:pPr>
    </w:p>
    <w:p w14:paraId="2F88A526" w14:textId="77777777" w:rsidR="00365862" w:rsidRPr="00FB4BED" w:rsidRDefault="00365862">
      <w:pPr>
        <w:rPr>
          <w:rFonts w:ascii="Verdana" w:hAnsi="Verdana" w:cs="Times New Roman"/>
          <w:sz w:val="16"/>
          <w:szCs w:val="16"/>
        </w:rPr>
      </w:pPr>
    </w:p>
    <w:p w14:paraId="2834698A" w14:textId="77777777" w:rsidR="00365862" w:rsidRPr="00FB4BED" w:rsidRDefault="00365862">
      <w:pPr>
        <w:rPr>
          <w:rFonts w:ascii="Verdana" w:hAnsi="Verdana" w:cs="Times New Roman"/>
          <w:sz w:val="16"/>
          <w:szCs w:val="16"/>
        </w:rPr>
      </w:pPr>
    </w:p>
    <w:p w14:paraId="7DC19897" w14:textId="77777777" w:rsidR="00365862" w:rsidRPr="00FB4BED" w:rsidRDefault="00365862">
      <w:pPr>
        <w:rPr>
          <w:rFonts w:ascii="Verdana" w:hAnsi="Verdana" w:cs="Times New Roman"/>
          <w:sz w:val="16"/>
          <w:szCs w:val="16"/>
        </w:rPr>
      </w:pPr>
    </w:p>
    <w:p w14:paraId="0707C14F" w14:textId="77777777" w:rsidR="00365862" w:rsidRPr="00FB4BED" w:rsidRDefault="00365862">
      <w:pPr>
        <w:rPr>
          <w:rFonts w:ascii="Verdana" w:hAnsi="Verdana" w:cs="Times New Roman"/>
          <w:sz w:val="16"/>
          <w:szCs w:val="16"/>
        </w:rPr>
      </w:pPr>
    </w:p>
    <w:p w14:paraId="4F8FAF44" w14:textId="77777777" w:rsidR="00365862" w:rsidRPr="00FB4BED" w:rsidRDefault="00365862">
      <w:pPr>
        <w:rPr>
          <w:rFonts w:ascii="Verdana" w:hAnsi="Verdana" w:cs="Times New Roman"/>
          <w:sz w:val="16"/>
          <w:szCs w:val="16"/>
        </w:rPr>
      </w:pPr>
    </w:p>
    <w:p w14:paraId="5643AD0D" w14:textId="77777777" w:rsidR="00D06DA6" w:rsidRPr="00FB4BED" w:rsidRDefault="00D06DA6" w:rsidP="00D06DA6">
      <w:pPr>
        <w:jc w:val="center"/>
        <w:rPr>
          <w:rFonts w:ascii="Verdana" w:hAnsi="Verdana" w:cs="Times New Roman"/>
          <w:b/>
          <w:sz w:val="32"/>
          <w:szCs w:val="32"/>
        </w:rPr>
      </w:pPr>
    </w:p>
    <w:p w14:paraId="7D52B465" w14:textId="77777777" w:rsidR="00365862" w:rsidRPr="00FB4BED" w:rsidRDefault="00D06DA6" w:rsidP="00D06DA6">
      <w:pPr>
        <w:jc w:val="center"/>
        <w:rPr>
          <w:rFonts w:ascii="Verdana" w:hAnsi="Verdana" w:cs="Times New Roman"/>
          <w:b/>
          <w:sz w:val="32"/>
          <w:szCs w:val="32"/>
        </w:rPr>
      </w:pPr>
      <w:r w:rsidRPr="00FB4BED">
        <w:rPr>
          <w:rFonts w:ascii="Verdana" w:hAnsi="Verdana" w:cs="Times New Roman"/>
          <w:b/>
          <w:sz w:val="32"/>
          <w:szCs w:val="32"/>
        </w:rPr>
        <w:t>Программа лояльности и привилегий ББР Банк (АО) (для физических лиц)</w:t>
      </w:r>
    </w:p>
    <w:p w14:paraId="68DF7D60" w14:textId="4991AC42" w:rsidR="00365862" w:rsidRPr="00FB4BED" w:rsidRDefault="00BA7452" w:rsidP="00FF587D">
      <w:pPr>
        <w:jc w:val="center"/>
        <w:rPr>
          <w:rFonts w:ascii="Verdana" w:hAnsi="Verdana" w:cs="Times New Roman"/>
          <w:b/>
          <w:sz w:val="16"/>
          <w:szCs w:val="16"/>
        </w:rPr>
      </w:pPr>
      <w:r w:rsidRPr="00FB4BED">
        <w:rPr>
          <w:rFonts w:ascii="Verdana" w:hAnsi="Verdana" w:cs="Times New Roman"/>
          <w:b/>
          <w:sz w:val="16"/>
          <w:szCs w:val="16"/>
        </w:rPr>
        <w:t>(</w:t>
      </w:r>
      <w:r w:rsidRPr="00E778BA">
        <w:rPr>
          <w:rFonts w:ascii="Verdana" w:hAnsi="Verdana" w:cs="Times New Roman"/>
          <w:b/>
          <w:sz w:val="16"/>
          <w:szCs w:val="16"/>
        </w:rPr>
        <w:t xml:space="preserve">версия </w:t>
      </w:r>
      <w:r w:rsidR="00BF01B4">
        <w:rPr>
          <w:rFonts w:ascii="Verdana" w:hAnsi="Verdana" w:cs="Times New Roman"/>
          <w:b/>
          <w:sz w:val="16"/>
          <w:szCs w:val="16"/>
        </w:rPr>
        <w:t>24</w:t>
      </w:r>
      <w:r w:rsidRPr="00FB4BED">
        <w:rPr>
          <w:rFonts w:ascii="Verdana" w:hAnsi="Verdana" w:cs="Times New Roman"/>
          <w:b/>
          <w:sz w:val="16"/>
          <w:szCs w:val="16"/>
        </w:rPr>
        <w:t>)</w:t>
      </w:r>
    </w:p>
    <w:p w14:paraId="1CD8FF90" w14:textId="1CB149DA" w:rsidR="00365862" w:rsidRDefault="00365862">
      <w:pPr>
        <w:rPr>
          <w:rFonts w:ascii="Verdana" w:hAnsi="Verdana" w:cs="Times New Roman"/>
          <w:sz w:val="16"/>
          <w:szCs w:val="16"/>
        </w:rPr>
      </w:pPr>
    </w:p>
    <w:p w14:paraId="586AEC70" w14:textId="18FD6007" w:rsidR="0058487E" w:rsidRDefault="0058487E">
      <w:pPr>
        <w:rPr>
          <w:rFonts w:ascii="Verdana" w:hAnsi="Verdana" w:cs="Times New Roman"/>
          <w:sz w:val="16"/>
          <w:szCs w:val="16"/>
        </w:rPr>
      </w:pPr>
    </w:p>
    <w:p w14:paraId="4B59B021" w14:textId="77777777" w:rsidR="0058487E" w:rsidRPr="00FB4BED" w:rsidRDefault="0058487E">
      <w:pPr>
        <w:rPr>
          <w:rFonts w:ascii="Verdana" w:hAnsi="Verdana" w:cs="Times New Roman"/>
          <w:sz w:val="16"/>
          <w:szCs w:val="16"/>
        </w:rPr>
      </w:pPr>
    </w:p>
    <w:p w14:paraId="4BD0FC52" w14:textId="77777777" w:rsidR="00365862" w:rsidRPr="00FB4BED" w:rsidRDefault="00365862">
      <w:pPr>
        <w:rPr>
          <w:rFonts w:ascii="Verdana" w:hAnsi="Verdana" w:cs="Times New Roman"/>
          <w:sz w:val="16"/>
          <w:szCs w:val="16"/>
        </w:rPr>
      </w:pPr>
    </w:p>
    <w:p w14:paraId="2B6CBACB" w14:textId="77777777" w:rsidR="00365862" w:rsidRPr="00FB4BED" w:rsidRDefault="00365862">
      <w:pPr>
        <w:rPr>
          <w:rFonts w:ascii="Verdana" w:hAnsi="Verdana" w:cs="Times New Roman"/>
          <w:sz w:val="16"/>
          <w:szCs w:val="16"/>
        </w:rPr>
      </w:pPr>
    </w:p>
    <w:p w14:paraId="0546D1E5" w14:textId="77777777" w:rsidR="00365862" w:rsidRPr="00FB4BED" w:rsidRDefault="00365862">
      <w:pPr>
        <w:rPr>
          <w:rFonts w:ascii="Verdana" w:hAnsi="Verdana" w:cs="Times New Roman"/>
          <w:sz w:val="16"/>
          <w:szCs w:val="16"/>
        </w:rPr>
      </w:pPr>
    </w:p>
    <w:p w14:paraId="08EEF0FF" w14:textId="77777777" w:rsidR="00365862" w:rsidRPr="00FB4BED" w:rsidRDefault="00D06DA6" w:rsidP="00D06DA6">
      <w:pPr>
        <w:jc w:val="center"/>
        <w:rPr>
          <w:rFonts w:ascii="Verdana" w:hAnsi="Verdana" w:cs="Times New Roman"/>
          <w:b/>
          <w:sz w:val="16"/>
          <w:szCs w:val="16"/>
        </w:rPr>
      </w:pPr>
      <w:r w:rsidRPr="00FB4BED">
        <w:rPr>
          <w:rFonts w:ascii="Verdana" w:hAnsi="Verdana" w:cs="Times New Roman"/>
          <w:b/>
          <w:sz w:val="16"/>
          <w:szCs w:val="16"/>
        </w:rPr>
        <w:t>МОСКВА</w:t>
      </w:r>
    </w:p>
    <w:p w14:paraId="51A01FF5" w14:textId="739A2D97" w:rsidR="00D06DA6" w:rsidRPr="00FB4BED" w:rsidRDefault="00BD180F" w:rsidP="00D06DA6">
      <w:pPr>
        <w:jc w:val="center"/>
        <w:rPr>
          <w:rFonts w:ascii="Verdana" w:hAnsi="Verdana" w:cs="Times New Roman"/>
          <w:b/>
          <w:sz w:val="16"/>
          <w:szCs w:val="16"/>
        </w:rPr>
      </w:pPr>
      <w:r w:rsidRPr="00FB4BED">
        <w:rPr>
          <w:rFonts w:ascii="Verdana" w:hAnsi="Verdana" w:cs="Times New Roman"/>
          <w:b/>
          <w:sz w:val="16"/>
          <w:szCs w:val="16"/>
        </w:rPr>
        <w:t>20</w:t>
      </w:r>
      <w:r w:rsidRPr="000D25C3">
        <w:rPr>
          <w:rFonts w:ascii="Verdana" w:hAnsi="Verdana" w:cs="Times New Roman"/>
          <w:b/>
          <w:sz w:val="16"/>
          <w:szCs w:val="16"/>
        </w:rPr>
        <w:t>2</w:t>
      </w:r>
      <w:r>
        <w:rPr>
          <w:rFonts w:ascii="Verdana" w:hAnsi="Verdana" w:cs="Times New Roman"/>
          <w:b/>
          <w:sz w:val="16"/>
          <w:szCs w:val="16"/>
        </w:rPr>
        <w:t>4</w:t>
      </w:r>
    </w:p>
    <w:p w14:paraId="331B34CF" w14:textId="77777777" w:rsidR="0058487E" w:rsidRDefault="0058487E" w:rsidP="00D709F4">
      <w:pPr>
        <w:jc w:val="center"/>
        <w:rPr>
          <w:rFonts w:ascii="Verdana" w:hAnsi="Verdana" w:cs="Times New Roman"/>
          <w:b/>
          <w:sz w:val="16"/>
          <w:szCs w:val="16"/>
        </w:rPr>
      </w:pPr>
    </w:p>
    <w:p w14:paraId="762803AC" w14:textId="77777777" w:rsidR="00E55FBD" w:rsidRPr="00797E33" w:rsidRDefault="00E55FBD" w:rsidP="00D709F4">
      <w:pPr>
        <w:jc w:val="center"/>
        <w:rPr>
          <w:rFonts w:ascii="Verdana" w:hAnsi="Verdana" w:cs="Times New Roman"/>
          <w:b/>
          <w:sz w:val="16"/>
          <w:szCs w:val="16"/>
        </w:rPr>
      </w:pPr>
    </w:p>
    <w:p w14:paraId="2D9FD08E" w14:textId="020E3586" w:rsidR="001A45F7" w:rsidRPr="00FB4BED" w:rsidRDefault="00AC467D" w:rsidP="00D709F4">
      <w:pPr>
        <w:jc w:val="center"/>
        <w:rPr>
          <w:rFonts w:ascii="Verdana" w:hAnsi="Verdana" w:cs="Times New Roman"/>
          <w:b/>
          <w:sz w:val="16"/>
          <w:szCs w:val="16"/>
        </w:rPr>
      </w:pPr>
      <w:r w:rsidRPr="00FB4BED">
        <w:rPr>
          <w:rFonts w:ascii="Verdana" w:hAnsi="Verdana" w:cs="Times New Roman"/>
          <w:b/>
          <w:sz w:val="16"/>
          <w:szCs w:val="16"/>
        </w:rPr>
        <w:t xml:space="preserve">Часть 1. </w:t>
      </w:r>
      <w:r w:rsidR="001A45F7" w:rsidRPr="00FB4BED">
        <w:rPr>
          <w:rFonts w:ascii="Verdana" w:hAnsi="Verdana" w:cs="Times New Roman"/>
          <w:b/>
          <w:sz w:val="16"/>
          <w:szCs w:val="16"/>
        </w:rPr>
        <w:t>«Премиальный процент»</w:t>
      </w:r>
    </w:p>
    <w:p w14:paraId="6710B120" w14:textId="77777777" w:rsidR="00174A7E" w:rsidRPr="00FB4BED" w:rsidRDefault="00174A7E" w:rsidP="00D709F4">
      <w:pPr>
        <w:jc w:val="center"/>
        <w:rPr>
          <w:rFonts w:ascii="Verdana" w:hAnsi="Verdana" w:cs="Times New Roman"/>
          <w:b/>
          <w:sz w:val="16"/>
          <w:szCs w:val="16"/>
        </w:rPr>
      </w:pPr>
      <w:r w:rsidRPr="00FB4BED">
        <w:rPr>
          <w:rFonts w:ascii="Verdana" w:hAnsi="Verdana" w:cs="Times New Roman"/>
          <w:b/>
          <w:sz w:val="16"/>
          <w:szCs w:val="16"/>
        </w:rPr>
        <w:t>(для физических лиц</w:t>
      </w:r>
      <w:r w:rsidR="00AC467D" w:rsidRPr="00FB4BED">
        <w:rPr>
          <w:rFonts w:ascii="Verdana" w:hAnsi="Verdana" w:cs="Times New Roman"/>
          <w:b/>
          <w:sz w:val="16"/>
          <w:szCs w:val="16"/>
        </w:rPr>
        <w:t xml:space="preserve"> – вкладчиков Банка</w:t>
      </w:r>
      <w:r w:rsidRPr="00FB4BED">
        <w:rPr>
          <w:rFonts w:ascii="Verdana" w:hAnsi="Verdana" w:cs="Times New Roman"/>
          <w:b/>
          <w:sz w:val="16"/>
          <w:szCs w:val="16"/>
        </w:rPr>
        <w:t>)</w:t>
      </w:r>
    </w:p>
    <w:p w14:paraId="0667F4CA" w14:textId="77777777" w:rsidR="001A45F7" w:rsidRPr="00544FD8" w:rsidRDefault="001A45F7" w:rsidP="00A67676">
      <w:pPr>
        <w:pStyle w:val="a3"/>
        <w:numPr>
          <w:ilvl w:val="0"/>
          <w:numId w:val="1"/>
        </w:numPr>
        <w:rPr>
          <w:rFonts w:ascii="Verdana" w:hAnsi="Verdana" w:cs="Times New Roman"/>
          <w:b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Термины и определения:</w:t>
      </w:r>
    </w:p>
    <w:p w14:paraId="5D26ACE4" w14:textId="3ADA420D" w:rsidR="001A45F7" w:rsidRPr="00544FD8" w:rsidRDefault="001A45F7" w:rsidP="00D709F4">
      <w:p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Банк</w:t>
      </w:r>
      <w:r w:rsidRPr="00544FD8">
        <w:rPr>
          <w:rFonts w:ascii="Verdana" w:hAnsi="Verdana" w:cs="Times New Roman"/>
          <w:sz w:val="16"/>
          <w:szCs w:val="16"/>
        </w:rPr>
        <w:t xml:space="preserve"> - ББР Банк (АО)</w:t>
      </w:r>
      <w:r w:rsidR="00E450FB" w:rsidRPr="00544FD8">
        <w:rPr>
          <w:rFonts w:ascii="Verdana" w:hAnsi="Verdana" w:cs="Times New Roman"/>
          <w:sz w:val="16"/>
          <w:szCs w:val="16"/>
        </w:rPr>
        <w:t>.</w:t>
      </w:r>
      <w:r w:rsidRPr="00544FD8">
        <w:rPr>
          <w:rFonts w:ascii="Verdana" w:hAnsi="Verdana" w:cs="Times New Roman"/>
          <w:sz w:val="16"/>
          <w:szCs w:val="16"/>
        </w:rPr>
        <w:t xml:space="preserve"> </w:t>
      </w:r>
    </w:p>
    <w:p w14:paraId="2FC399EB" w14:textId="36D9DFE2" w:rsidR="00A67676" w:rsidRPr="00544FD8" w:rsidRDefault="00A67676" w:rsidP="00D709F4">
      <w:p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Бонус</w:t>
      </w:r>
      <w:r w:rsidRPr="00544FD8">
        <w:rPr>
          <w:rFonts w:ascii="Verdana" w:hAnsi="Verdana" w:cs="Times New Roman"/>
          <w:sz w:val="16"/>
          <w:szCs w:val="16"/>
        </w:rPr>
        <w:t xml:space="preserve"> </w:t>
      </w:r>
      <w:r w:rsidR="008A0AEA" w:rsidRPr="00544FD8">
        <w:rPr>
          <w:rFonts w:ascii="Verdana" w:hAnsi="Verdana" w:cs="Times New Roman"/>
          <w:sz w:val="16"/>
          <w:szCs w:val="16"/>
        </w:rPr>
        <w:t xml:space="preserve">(премиальный процент) </w:t>
      </w:r>
      <w:r w:rsidRPr="00544FD8">
        <w:rPr>
          <w:rFonts w:ascii="Verdana" w:hAnsi="Verdana" w:cs="Times New Roman"/>
          <w:sz w:val="16"/>
          <w:szCs w:val="16"/>
        </w:rPr>
        <w:t xml:space="preserve">– дополнительная процентная ставка (в </w:t>
      </w:r>
      <w:r w:rsidR="00192545" w:rsidRPr="00544FD8">
        <w:rPr>
          <w:rFonts w:ascii="Verdana" w:hAnsi="Verdana" w:cs="Times New Roman"/>
          <w:sz w:val="16"/>
          <w:szCs w:val="16"/>
        </w:rPr>
        <w:t xml:space="preserve">процентах </w:t>
      </w:r>
      <w:r w:rsidRPr="00544FD8">
        <w:rPr>
          <w:rFonts w:ascii="Verdana" w:hAnsi="Verdana" w:cs="Times New Roman"/>
          <w:sz w:val="16"/>
          <w:szCs w:val="16"/>
        </w:rPr>
        <w:t xml:space="preserve">годовых), на которую </w:t>
      </w:r>
      <w:r w:rsidR="00185F3C" w:rsidRPr="00544FD8">
        <w:rPr>
          <w:rFonts w:ascii="Verdana" w:hAnsi="Verdana" w:cs="Times New Roman"/>
          <w:sz w:val="16"/>
          <w:szCs w:val="16"/>
        </w:rPr>
        <w:t>в зависимости от выбранного Вкладчиком срока</w:t>
      </w:r>
      <w:r w:rsidR="008B2E40" w:rsidRPr="00544FD8">
        <w:rPr>
          <w:rFonts w:ascii="Verdana" w:hAnsi="Verdana" w:cs="Times New Roman"/>
          <w:sz w:val="16"/>
          <w:szCs w:val="16"/>
        </w:rPr>
        <w:t>,</w:t>
      </w:r>
      <w:r w:rsidR="003D5EC4" w:rsidRPr="00544FD8">
        <w:rPr>
          <w:rFonts w:ascii="Verdana" w:hAnsi="Verdana" w:cs="Times New Roman"/>
          <w:sz w:val="16"/>
          <w:szCs w:val="16"/>
        </w:rPr>
        <w:t xml:space="preserve"> валюты</w:t>
      </w:r>
      <w:r w:rsidR="00185F3C" w:rsidRPr="00544FD8">
        <w:rPr>
          <w:rFonts w:ascii="Verdana" w:hAnsi="Verdana" w:cs="Times New Roman"/>
          <w:sz w:val="16"/>
          <w:szCs w:val="16"/>
        </w:rPr>
        <w:t xml:space="preserve"> вклада </w:t>
      </w:r>
      <w:r w:rsidR="003D5EC4" w:rsidRPr="00544FD8">
        <w:rPr>
          <w:rFonts w:ascii="Verdana" w:hAnsi="Verdana" w:cs="Times New Roman"/>
          <w:sz w:val="16"/>
          <w:szCs w:val="16"/>
        </w:rPr>
        <w:t>или исполнения указанных в Программе требований</w:t>
      </w:r>
      <w:r w:rsidR="000D25C3" w:rsidRPr="00544FD8">
        <w:rPr>
          <w:rFonts w:ascii="Verdana" w:hAnsi="Verdana" w:cs="Times New Roman"/>
          <w:sz w:val="16"/>
          <w:szCs w:val="16"/>
        </w:rPr>
        <w:t>,</w:t>
      </w:r>
      <w:r w:rsidR="003D5EC4" w:rsidRPr="00544FD8">
        <w:rPr>
          <w:rFonts w:ascii="Verdana" w:hAnsi="Verdana" w:cs="Times New Roman"/>
          <w:sz w:val="16"/>
          <w:szCs w:val="16"/>
        </w:rPr>
        <w:t xml:space="preserve"> </w:t>
      </w:r>
      <w:r w:rsidR="00192545" w:rsidRPr="00544FD8">
        <w:rPr>
          <w:rFonts w:ascii="Verdana" w:hAnsi="Verdana" w:cs="Times New Roman"/>
          <w:sz w:val="16"/>
          <w:szCs w:val="16"/>
        </w:rPr>
        <w:t>увеличивается</w:t>
      </w:r>
      <w:r w:rsidRPr="00544FD8">
        <w:rPr>
          <w:rFonts w:ascii="Verdana" w:hAnsi="Verdana" w:cs="Times New Roman"/>
          <w:sz w:val="16"/>
          <w:szCs w:val="16"/>
        </w:rPr>
        <w:t xml:space="preserve"> процентн</w:t>
      </w:r>
      <w:r w:rsidR="00192545" w:rsidRPr="00544FD8">
        <w:rPr>
          <w:rFonts w:ascii="Verdana" w:hAnsi="Verdana" w:cs="Times New Roman"/>
          <w:sz w:val="16"/>
          <w:szCs w:val="16"/>
        </w:rPr>
        <w:t>ая</w:t>
      </w:r>
      <w:r w:rsidRPr="00544FD8">
        <w:rPr>
          <w:rFonts w:ascii="Verdana" w:hAnsi="Verdana" w:cs="Times New Roman"/>
          <w:sz w:val="16"/>
          <w:szCs w:val="16"/>
        </w:rPr>
        <w:t xml:space="preserve"> ставк</w:t>
      </w:r>
      <w:r w:rsidR="00192545" w:rsidRPr="00544FD8">
        <w:rPr>
          <w:rFonts w:ascii="Verdana" w:hAnsi="Verdana" w:cs="Times New Roman"/>
          <w:sz w:val="16"/>
          <w:szCs w:val="16"/>
        </w:rPr>
        <w:t>а</w:t>
      </w:r>
      <w:r w:rsidRPr="00544FD8">
        <w:rPr>
          <w:rFonts w:ascii="Verdana" w:hAnsi="Verdana" w:cs="Times New Roman"/>
          <w:sz w:val="16"/>
          <w:szCs w:val="16"/>
        </w:rPr>
        <w:t xml:space="preserve"> по вкладу, зафиксированн</w:t>
      </w:r>
      <w:r w:rsidR="00192545" w:rsidRPr="00544FD8">
        <w:rPr>
          <w:rFonts w:ascii="Verdana" w:hAnsi="Verdana" w:cs="Times New Roman"/>
          <w:sz w:val="16"/>
          <w:szCs w:val="16"/>
        </w:rPr>
        <w:t>ая</w:t>
      </w:r>
      <w:r w:rsidRPr="00544FD8">
        <w:rPr>
          <w:rFonts w:ascii="Verdana" w:hAnsi="Verdana" w:cs="Times New Roman"/>
          <w:sz w:val="16"/>
          <w:szCs w:val="16"/>
        </w:rPr>
        <w:t xml:space="preserve"> в Условиях на дату заключения</w:t>
      </w:r>
      <w:r w:rsidR="006E6AD3" w:rsidRPr="00544FD8">
        <w:rPr>
          <w:rFonts w:ascii="Verdana" w:hAnsi="Verdana" w:cs="Times New Roman"/>
          <w:sz w:val="16"/>
          <w:szCs w:val="16"/>
        </w:rPr>
        <w:t xml:space="preserve"> </w:t>
      </w:r>
      <w:r w:rsidR="00EB0793" w:rsidRPr="00544FD8">
        <w:rPr>
          <w:rFonts w:ascii="Verdana" w:hAnsi="Verdana" w:cs="Times New Roman"/>
          <w:sz w:val="16"/>
          <w:szCs w:val="16"/>
        </w:rPr>
        <w:t>срочного</w:t>
      </w:r>
      <w:r w:rsidR="006E6AD3" w:rsidRPr="00544FD8">
        <w:rPr>
          <w:rFonts w:ascii="Verdana" w:hAnsi="Verdana" w:cs="Times New Roman"/>
          <w:sz w:val="16"/>
          <w:szCs w:val="16"/>
        </w:rPr>
        <w:t xml:space="preserve"> вклада</w:t>
      </w:r>
      <w:r w:rsidR="00960DB9" w:rsidRPr="00544FD8">
        <w:rPr>
          <w:rFonts w:ascii="Verdana" w:hAnsi="Verdana" w:cs="Times New Roman"/>
          <w:sz w:val="16"/>
          <w:szCs w:val="16"/>
        </w:rPr>
        <w:t>.</w:t>
      </w:r>
    </w:p>
    <w:p w14:paraId="7DF4A635" w14:textId="286D4300" w:rsidR="006E753D" w:rsidRPr="00544FD8" w:rsidRDefault="006E753D" w:rsidP="006E753D">
      <w:p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Бонусный вклад</w:t>
      </w:r>
      <w:r w:rsidRPr="00544FD8">
        <w:rPr>
          <w:rFonts w:ascii="Verdana" w:hAnsi="Verdana" w:cs="Times New Roman"/>
          <w:sz w:val="16"/>
          <w:szCs w:val="16"/>
        </w:rPr>
        <w:t xml:space="preserve"> – вклады, участвующие в Программе, перечень которых указан </w:t>
      </w:r>
      <w:r w:rsidR="00F33CF5" w:rsidRPr="00544FD8">
        <w:rPr>
          <w:rFonts w:ascii="Verdana" w:hAnsi="Verdana" w:cs="Times New Roman"/>
          <w:sz w:val="16"/>
          <w:szCs w:val="16"/>
        </w:rPr>
        <w:t xml:space="preserve">в </w:t>
      </w:r>
      <w:r w:rsidRPr="00544FD8">
        <w:rPr>
          <w:rFonts w:ascii="Verdana" w:hAnsi="Verdana" w:cs="Times New Roman"/>
          <w:sz w:val="16"/>
          <w:szCs w:val="16"/>
        </w:rPr>
        <w:t>настоящей Программе. При употреблении по тексту Программы понятия «Вклад» понимаются любые срочные вклады,</w:t>
      </w:r>
      <w:r w:rsidR="00170FB3" w:rsidRPr="00544FD8">
        <w:rPr>
          <w:rFonts w:ascii="Verdana" w:hAnsi="Verdana" w:cs="Times New Roman"/>
          <w:sz w:val="16"/>
          <w:szCs w:val="16"/>
        </w:rPr>
        <w:t xml:space="preserve"> </w:t>
      </w:r>
      <w:r w:rsidRPr="00544FD8">
        <w:rPr>
          <w:rFonts w:ascii="Verdana" w:hAnsi="Verdana" w:cs="Times New Roman"/>
          <w:sz w:val="16"/>
          <w:szCs w:val="16"/>
        </w:rPr>
        <w:t>действующие в Банке.</w:t>
      </w:r>
    </w:p>
    <w:p w14:paraId="69EAEB6B" w14:textId="09F017F2" w:rsidR="00A67676" w:rsidRPr="00544FD8" w:rsidRDefault="00A67676" w:rsidP="00D709F4">
      <w:p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Вкладчик</w:t>
      </w:r>
      <w:r w:rsidRPr="00544FD8">
        <w:rPr>
          <w:rFonts w:ascii="Verdana" w:hAnsi="Verdana" w:cs="Times New Roman"/>
          <w:sz w:val="16"/>
          <w:szCs w:val="16"/>
        </w:rPr>
        <w:t xml:space="preserve"> – физическое лицо</w:t>
      </w:r>
      <w:r w:rsidR="00D70E19" w:rsidRPr="00544FD8">
        <w:rPr>
          <w:rFonts w:ascii="Verdana" w:hAnsi="Verdana" w:cs="Times New Roman"/>
          <w:sz w:val="16"/>
          <w:szCs w:val="16"/>
        </w:rPr>
        <w:t xml:space="preserve"> (резидент и нерезидент в соответствии с определением, данным в Федеральном законе от 10.12.2003 N173-ФЗ "О валютном регулировании и валютном контроле")</w:t>
      </w:r>
      <w:r w:rsidRPr="00544FD8">
        <w:rPr>
          <w:rFonts w:ascii="Verdana" w:hAnsi="Verdana" w:cs="Times New Roman"/>
          <w:sz w:val="16"/>
          <w:szCs w:val="16"/>
        </w:rPr>
        <w:t xml:space="preserve">, </w:t>
      </w:r>
      <w:r w:rsidR="002C7FCF" w:rsidRPr="00544FD8">
        <w:rPr>
          <w:rFonts w:ascii="Verdana" w:hAnsi="Verdana" w:cs="Times New Roman"/>
          <w:sz w:val="16"/>
          <w:szCs w:val="16"/>
        </w:rPr>
        <w:t xml:space="preserve">открывшее </w:t>
      </w:r>
      <w:r w:rsidR="00587242" w:rsidRPr="00544FD8">
        <w:rPr>
          <w:rFonts w:ascii="Verdana" w:hAnsi="Verdana" w:cs="Times New Roman"/>
          <w:sz w:val="16"/>
          <w:szCs w:val="16"/>
        </w:rPr>
        <w:t xml:space="preserve">(имеющее) </w:t>
      </w:r>
      <w:r w:rsidR="005E7371" w:rsidRPr="00544FD8">
        <w:rPr>
          <w:rFonts w:ascii="Verdana" w:hAnsi="Verdana" w:cs="Times New Roman"/>
          <w:sz w:val="16"/>
          <w:szCs w:val="16"/>
        </w:rPr>
        <w:t>В</w:t>
      </w:r>
      <w:r w:rsidR="002C7FCF" w:rsidRPr="00544FD8">
        <w:rPr>
          <w:rFonts w:ascii="Verdana" w:hAnsi="Verdana" w:cs="Times New Roman"/>
          <w:sz w:val="16"/>
          <w:szCs w:val="16"/>
        </w:rPr>
        <w:t xml:space="preserve">клад в Банке или обратившееся в Банк с целью открытия </w:t>
      </w:r>
      <w:r w:rsidR="005E7371" w:rsidRPr="00544FD8">
        <w:rPr>
          <w:rFonts w:ascii="Verdana" w:hAnsi="Verdana" w:cs="Times New Roman"/>
          <w:sz w:val="16"/>
          <w:szCs w:val="16"/>
        </w:rPr>
        <w:t>В</w:t>
      </w:r>
      <w:r w:rsidR="002C7FCF" w:rsidRPr="00544FD8">
        <w:rPr>
          <w:rFonts w:ascii="Verdana" w:hAnsi="Verdana" w:cs="Times New Roman"/>
          <w:sz w:val="16"/>
          <w:szCs w:val="16"/>
        </w:rPr>
        <w:t>клада</w:t>
      </w:r>
      <w:r w:rsidR="00FE31F0" w:rsidRPr="00544FD8">
        <w:rPr>
          <w:rFonts w:ascii="Verdana" w:hAnsi="Verdana" w:cs="Times New Roman"/>
          <w:sz w:val="16"/>
          <w:szCs w:val="16"/>
        </w:rPr>
        <w:t xml:space="preserve"> на своё имя</w:t>
      </w:r>
      <w:r w:rsidR="00960DB9" w:rsidRPr="00544FD8">
        <w:rPr>
          <w:rFonts w:ascii="Verdana" w:hAnsi="Verdana" w:cs="Times New Roman"/>
          <w:sz w:val="16"/>
          <w:szCs w:val="16"/>
        </w:rPr>
        <w:t>.</w:t>
      </w:r>
    </w:p>
    <w:p w14:paraId="74566A65" w14:textId="5AD3505E" w:rsidR="001A45F7" w:rsidRPr="00544FD8" w:rsidRDefault="001A45F7" w:rsidP="00D709F4">
      <w:p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Программа</w:t>
      </w:r>
      <w:r w:rsidR="000350BA" w:rsidRPr="00544FD8">
        <w:rPr>
          <w:rFonts w:ascii="Verdana" w:hAnsi="Verdana" w:cs="Times New Roman"/>
          <w:sz w:val="16"/>
          <w:szCs w:val="16"/>
        </w:rPr>
        <w:t xml:space="preserve"> - </w:t>
      </w:r>
      <w:r w:rsidR="002C7FCF" w:rsidRPr="00544FD8">
        <w:rPr>
          <w:rFonts w:ascii="Verdana" w:hAnsi="Verdana" w:cs="Times New Roman"/>
          <w:sz w:val="16"/>
          <w:szCs w:val="16"/>
        </w:rPr>
        <w:t xml:space="preserve">настоящая </w:t>
      </w:r>
      <w:r w:rsidR="000350BA" w:rsidRPr="00544FD8">
        <w:rPr>
          <w:rFonts w:ascii="Verdana" w:hAnsi="Verdana" w:cs="Times New Roman"/>
          <w:sz w:val="16"/>
          <w:szCs w:val="16"/>
        </w:rPr>
        <w:t>П</w:t>
      </w:r>
      <w:r w:rsidRPr="00544FD8">
        <w:rPr>
          <w:rFonts w:ascii="Verdana" w:hAnsi="Verdana" w:cs="Times New Roman"/>
          <w:sz w:val="16"/>
          <w:szCs w:val="16"/>
        </w:rPr>
        <w:t xml:space="preserve">рограмма </w:t>
      </w:r>
      <w:r w:rsidR="00174A7E" w:rsidRPr="00544FD8">
        <w:rPr>
          <w:rFonts w:ascii="Verdana" w:hAnsi="Verdana" w:cs="Times New Roman"/>
          <w:sz w:val="16"/>
          <w:szCs w:val="16"/>
        </w:rPr>
        <w:t>лояльности и привилегий</w:t>
      </w:r>
      <w:r w:rsidRPr="00544FD8">
        <w:rPr>
          <w:rFonts w:ascii="Verdana" w:hAnsi="Verdana" w:cs="Times New Roman"/>
          <w:sz w:val="16"/>
          <w:szCs w:val="16"/>
        </w:rPr>
        <w:t xml:space="preserve"> </w:t>
      </w:r>
      <w:r w:rsidR="00633FB3" w:rsidRPr="00544FD8">
        <w:rPr>
          <w:rFonts w:ascii="Verdana" w:hAnsi="Verdana" w:cs="Times New Roman"/>
          <w:sz w:val="16"/>
          <w:szCs w:val="16"/>
        </w:rPr>
        <w:t xml:space="preserve">ББР </w:t>
      </w:r>
      <w:r w:rsidRPr="00544FD8">
        <w:rPr>
          <w:rFonts w:ascii="Verdana" w:hAnsi="Verdana" w:cs="Times New Roman"/>
          <w:sz w:val="16"/>
          <w:szCs w:val="16"/>
        </w:rPr>
        <w:t xml:space="preserve">Банка </w:t>
      </w:r>
      <w:r w:rsidR="00633FB3" w:rsidRPr="00544FD8">
        <w:rPr>
          <w:rFonts w:ascii="Verdana" w:hAnsi="Verdana" w:cs="Times New Roman"/>
          <w:sz w:val="16"/>
          <w:szCs w:val="16"/>
        </w:rPr>
        <w:t xml:space="preserve">(АО) </w:t>
      </w:r>
      <w:r w:rsidRPr="00544FD8">
        <w:rPr>
          <w:rFonts w:ascii="Verdana" w:hAnsi="Verdana" w:cs="Times New Roman"/>
          <w:sz w:val="16"/>
          <w:szCs w:val="16"/>
        </w:rPr>
        <w:t>«Премиальный процент»</w:t>
      </w:r>
      <w:r w:rsidR="00174A7E" w:rsidRPr="00544FD8">
        <w:rPr>
          <w:rFonts w:ascii="Verdana" w:hAnsi="Verdana" w:cs="Times New Roman"/>
          <w:sz w:val="16"/>
          <w:szCs w:val="16"/>
        </w:rPr>
        <w:t xml:space="preserve"> (для физических лиц</w:t>
      </w:r>
      <w:r w:rsidR="005E7371" w:rsidRPr="00544FD8">
        <w:rPr>
          <w:rFonts w:ascii="Verdana" w:hAnsi="Verdana" w:cs="Times New Roman"/>
          <w:sz w:val="16"/>
          <w:szCs w:val="16"/>
        </w:rPr>
        <w:t xml:space="preserve"> </w:t>
      </w:r>
      <w:r w:rsidR="00AC467D" w:rsidRPr="00544FD8">
        <w:rPr>
          <w:rFonts w:ascii="Verdana" w:hAnsi="Verdana" w:cs="Times New Roman"/>
          <w:sz w:val="16"/>
          <w:szCs w:val="16"/>
        </w:rPr>
        <w:t>- вкладчиков Банка</w:t>
      </w:r>
      <w:r w:rsidR="00174A7E" w:rsidRPr="00544FD8">
        <w:rPr>
          <w:rFonts w:ascii="Verdana" w:hAnsi="Verdana" w:cs="Times New Roman"/>
          <w:sz w:val="16"/>
          <w:szCs w:val="16"/>
        </w:rPr>
        <w:t>)</w:t>
      </w:r>
      <w:r w:rsidR="00960DB9" w:rsidRPr="00544FD8">
        <w:rPr>
          <w:rFonts w:ascii="Verdana" w:hAnsi="Verdana" w:cs="Times New Roman"/>
          <w:sz w:val="16"/>
          <w:szCs w:val="16"/>
        </w:rPr>
        <w:t>.</w:t>
      </w:r>
    </w:p>
    <w:p w14:paraId="323C8E91" w14:textId="77777777" w:rsidR="0074514E" w:rsidRPr="00544FD8" w:rsidRDefault="00EE7186" w:rsidP="00D709F4">
      <w:p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 xml:space="preserve">Полис - </w:t>
      </w:r>
      <w:r w:rsidRPr="00544FD8">
        <w:rPr>
          <w:rFonts w:ascii="Verdana" w:hAnsi="Verdana" w:cs="Times New Roman"/>
          <w:sz w:val="16"/>
          <w:szCs w:val="16"/>
        </w:rPr>
        <w:t>именной документ, приобретенный в Банке и подтверждающий заключение</w:t>
      </w:r>
      <w:r w:rsidR="00465605" w:rsidRPr="00544FD8">
        <w:rPr>
          <w:rFonts w:ascii="Verdana" w:hAnsi="Verdana" w:cs="Times New Roman"/>
          <w:sz w:val="16"/>
          <w:szCs w:val="16"/>
        </w:rPr>
        <w:t>:</w:t>
      </w:r>
      <w:r w:rsidRPr="00544FD8">
        <w:rPr>
          <w:rFonts w:ascii="Verdana" w:hAnsi="Verdana" w:cs="Times New Roman"/>
          <w:sz w:val="16"/>
          <w:szCs w:val="16"/>
        </w:rPr>
        <w:t xml:space="preserve"> </w:t>
      </w:r>
    </w:p>
    <w:p w14:paraId="58361D7A" w14:textId="1C17EDE4" w:rsidR="00F6391F" w:rsidRPr="00544FD8" w:rsidRDefault="00EE7186" w:rsidP="009955EE">
      <w:pPr>
        <w:pStyle w:val="a3"/>
        <w:numPr>
          <w:ilvl w:val="0"/>
          <w:numId w:val="19"/>
        </w:num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договора о страховании </w:t>
      </w:r>
      <w:r w:rsidR="0074514E" w:rsidRPr="00544FD8">
        <w:rPr>
          <w:rFonts w:ascii="Verdana" w:hAnsi="Verdana" w:cs="Times New Roman"/>
          <w:sz w:val="16"/>
          <w:szCs w:val="16"/>
        </w:rPr>
        <w:t>(п</w:t>
      </w:r>
      <w:r w:rsidR="003C1320" w:rsidRPr="00544FD8">
        <w:rPr>
          <w:rFonts w:ascii="Verdana" w:hAnsi="Verdana" w:cs="Times New Roman"/>
          <w:sz w:val="16"/>
          <w:szCs w:val="16"/>
        </w:rPr>
        <w:t>олис страхования)</w:t>
      </w:r>
      <w:r w:rsidR="009D17D1" w:rsidRPr="00544FD8">
        <w:rPr>
          <w:rFonts w:ascii="Verdana" w:hAnsi="Verdana" w:cs="Times New Roman"/>
          <w:sz w:val="16"/>
          <w:szCs w:val="16"/>
        </w:rPr>
        <w:t xml:space="preserve"> по </w:t>
      </w:r>
      <w:r w:rsidR="00C85032" w:rsidRPr="00544FD8">
        <w:rPr>
          <w:rFonts w:ascii="Verdana" w:hAnsi="Verdana" w:cs="Times New Roman"/>
          <w:sz w:val="16"/>
          <w:szCs w:val="16"/>
        </w:rPr>
        <w:t xml:space="preserve">заранее </w:t>
      </w:r>
      <w:r w:rsidR="009D17D1" w:rsidRPr="00544FD8">
        <w:rPr>
          <w:rFonts w:ascii="Verdana" w:hAnsi="Verdana" w:cs="Times New Roman"/>
          <w:sz w:val="16"/>
          <w:szCs w:val="16"/>
        </w:rPr>
        <w:t xml:space="preserve">установленному перечню рисков (коробочное страхование) недвижимости (дом, квартира) от ущерба; </w:t>
      </w:r>
      <w:r w:rsidR="00C85032" w:rsidRPr="00544FD8">
        <w:rPr>
          <w:rFonts w:ascii="Verdana" w:hAnsi="Verdana" w:cs="Times New Roman"/>
          <w:sz w:val="16"/>
          <w:szCs w:val="16"/>
        </w:rPr>
        <w:t>здоровья и жизни в результате несчастного случая;</w:t>
      </w:r>
      <w:r w:rsidR="009D17D1" w:rsidRPr="00544FD8">
        <w:rPr>
          <w:rFonts w:ascii="Verdana" w:hAnsi="Verdana" w:cs="Times New Roman"/>
          <w:sz w:val="16"/>
          <w:szCs w:val="16"/>
        </w:rPr>
        <w:t xml:space="preserve"> иных полисов коробочного страхования, не оговоренных выше</w:t>
      </w:r>
      <w:r w:rsidR="0046487C" w:rsidRPr="00544FD8">
        <w:rPr>
          <w:rFonts w:ascii="Verdana" w:hAnsi="Verdana" w:cs="Times New Roman"/>
          <w:sz w:val="16"/>
          <w:szCs w:val="16"/>
        </w:rPr>
        <w:t>;</w:t>
      </w:r>
    </w:p>
    <w:p w14:paraId="5D0DF9ED" w14:textId="7FA7B59B" w:rsidR="00956E9F" w:rsidRPr="00544FD8" w:rsidRDefault="00956E9F" w:rsidP="00956E9F">
      <w:pPr>
        <w:pStyle w:val="a3"/>
        <w:numPr>
          <w:ilvl w:val="0"/>
          <w:numId w:val="19"/>
        </w:num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>договора (полиса) накопительного страхования жизни (НСЖ)</w:t>
      </w:r>
      <w:r w:rsidR="00F65AF9" w:rsidRPr="00544FD8">
        <w:rPr>
          <w:rFonts w:ascii="Verdana" w:hAnsi="Verdana" w:cs="Times New Roman"/>
          <w:sz w:val="16"/>
          <w:szCs w:val="16"/>
        </w:rPr>
        <w:t xml:space="preserve"> с ООО СК «Согласие – Вита»</w:t>
      </w:r>
      <w:r w:rsidR="00946945" w:rsidRPr="00544FD8">
        <w:rPr>
          <w:rFonts w:ascii="Verdana" w:hAnsi="Verdana" w:cs="Times New Roman"/>
          <w:sz w:val="16"/>
          <w:szCs w:val="16"/>
        </w:rPr>
        <w:t>, ООО «МАКС</w:t>
      </w:r>
      <w:r w:rsidR="00CB6600" w:rsidRPr="00544FD8">
        <w:rPr>
          <w:rFonts w:ascii="Verdana" w:hAnsi="Verdana" w:cs="Times New Roman"/>
          <w:sz w:val="16"/>
          <w:szCs w:val="16"/>
        </w:rPr>
        <w:t>-Жизнь</w:t>
      </w:r>
      <w:r w:rsidR="00946945" w:rsidRPr="00544FD8">
        <w:rPr>
          <w:rFonts w:ascii="Verdana" w:hAnsi="Verdana" w:cs="Times New Roman"/>
          <w:sz w:val="16"/>
          <w:szCs w:val="16"/>
        </w:rPr>
        <w:t>».</w:t>
      </w:r>
    </w:p>
    <w:p w14:paraId="440CDEA7" w14:textId="31CA598D" w:rsidR="0046487C" w:rsidRPr="00544FD8" w:rsidRDefault="0046487C" w:rsidP="0046487C">
      <w:p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Полный перечень всех видов коробочного страхования, а также полные условия </w:t>
      </w:r>
      <w:r w:rsidR="00956E9F" w:rsidRPr="00544FD8">
        <w:rPr>
          <w:rFonts w:ascii="Verdana" w:hAnsi="Verdana" w:cs="Times New Roman"/>
          <w:sz w:val="16"/>
          <w:szCs w:val="16"/>
        </w:rPr>
        <w:t xml:space="preserve">НСЖ </w:t>
      </w:r>
      <w:r w:rsidRPr="00544FD8">
        <w:rPr>
          <w:rFonts w:ascii="Verdana" w:hAnsi="Verdana" w:cs="Times New Roman"/>
          <w:sz w:val="16"/>
          <w:szCs w:val="16"/>
        </w:rPr>
        <w:t xml:space="preserve">размещены на сайте Банка в сети Интернет по адресу: </w:t>
      </w:r>
      <w:hyperlink r:id="rId8" w:history="1">
        <w:r w:rsidR="00E450FB" w:rsidRPr="00544FD8">
          <w:rPr>
            <w:rStyle w:val="a5"/>
            <w:rFonts w:ascii="Verdana" w:hAnsi="Verdana"/>
            <w:sz w:val="16"/>
            <w:szCs w:val="16"/>
          </w:rPr>
          <w:t>https://bbr.ru/</w:t>
        </w:r>
      </w:hyperlink>
      <w:r w:rsidRPr="00544FD8">
        <w:rPr>
          <w:rFonts w:ascii="Verdana" w:hAnsi="Verdana" w:cs="Times New Roman"/>
          <w:sz w:val="16"/>
          <w:szCs w:val="16"/>
        </w:rPr>
        <w:t>.</w:t>
      </w:r>
    </w:p>
    <w:p w14:paraId="5D60ACE5" w14:textId="62C0E046" w:rsidR="00090FFA" w:rsidRPr="00544FD8" w:rsidRDefault="00966095" w:rsidP="00090FFA">
      <w:p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Сумма вклада</w:t>
      </w:r>
      <w:r w:rsidRPr="00544FD8">
        <w:rPr>
          <w:rFonts w:ascii="Verdana" w:hAnsi="Verdana" w:cs="Times New Roman"/>
          <w:sz w:val="16"/>
          <w:szCs w:val="16"/>
        </w:rPr>
        <w:t xml:space="preserve"> </w:t>
      </w:r>
      <w:r w:rsidR="00F34AC0" w:rsidRPr="00544FD8">
        <w:rPr>
          <w:rFonts w:ascii="Verdana" w:hAnsi="Verdana" w:cs="Times New Roman"/>
          <w:sz w:val="16"/>
          <w:szCs w:val="16"/>
        </w:rPr>
        <w:t>–</w:t>
      </w:r>
      <w:r w:rsidRPr="00544FD8">
        <w:rPr>
          <w:rFonts w:ascii="Verdana" w:hAnsi="Verdana" w:cs="Times New Roman"/>
          <w:sz w:val="16"/>
          <w:szCs w:val="16"/>
        </w:rPr>
        <w:t xml:space="preserve"> </w:t>
      </w:r>
      <w:r w:rsidR="0068571C" w:rsidRPr="00544FD8">
        <w:rPr>
          <w:rFonts w:ascii="Verdana" w:hAnsi="Verdana" w:cs="Times New Roman"/>
          <w:sz w:val="16"/>
          <w:szCs w:val="16"/>
        </w:rPr>
        <w:t>сумма</w:t>
      </w:r>
      <w:r w:rsidR="00ED00ED" w:rsidRPr="00544FD8">
        <w:rPr>
          <w:rFonts w:ascii="Verdana" w:hAnsi="Verdana" w:cs="Times New Roman"/>
          <w:sz w:val="16"/>
          <w:szCs w:val="16"/>
        </w:rPr>
        <w:t xml:space="preserve"> </w:t>
      </w:r>
      <w:r w:rsidR="00F34AC0" w:rsidRPr="00544FD8">
        <w:rPr>
          <w:rFonts w:ascii="Verdana" w:hAnsi="Verdana" w:cs="Times New Roman"/>
          <w:sz w:val="16"/>
          <w:szCs w:val="16"/>
        </w:rPr>
        <w:t>денежны</w:t>
      </w:r>
      <w:r w:rsidR="00ED00ED" w:rsidRPr="00544FD8">
        <w:rPr>
          <w:rFonts w:ascii="Verdana" w:hAnsi="Verdana" w:cs="Times New Roman"/>
          <w:sz w:val="16"/>
          <w:szCs w:val="16"/>
        </w:rPr>
        <w:t>х</w:t>
      </w:r>
      <w:r w:rsidR="00F34AC0" w:rsidRPr="00544FD8">
        <w:rPr>
          <w:rFonts w:ascii="Verdana" w:hAnsi="Verdana" w:cs="Times New Roman"/>
          <w:sz w:val="16"/>
          <w:szCs w:val="16"/>
        </w:rPr>
        <w:t xml:space="preserve"> средств</w:t>
      </w:r>
      <w:r w:rsidR="00B244CD" w:rsidRPr="00544FD8">
        <w:rPr>
          <w:rFonts w:ascii="Verdana" w:hAnsi="Verdana" w:cs="Times New Roman"/>
          <w:sz w:val="16"/>
          <w:szCs w:val="16"/>
        </w:rPr>
        <w:t xml:space="preserve">, в </w:t>
      </w:r>
      <w:proofErr w:type="spellStart"/>
      <w:r w:rsidR="00B244CD" w:rsidRPr="00544FD8">
        <w:rPr>
          <w:rFonts w:ascii="Verdana" w:hAnsi="Verdana" w:cs="Times New Roman"/>
          <w:sz w:val="16"/>
          <w:szCs w:val="16"/>
        </w:rPr>
        <w:t>т.ч</w:t>
      </w:r>
      <w:proofErr w:type="spellEnd"/>
      <w:r w:rsidR="00B244CD" w:rsidRPr="00544FD8">
        <w:rPr>
          <w:rFonts w:ascii="Verdana" w:hAnsi="Verdana" w:cs="Times New Roman"/>
          <w:sz w:val="16"/>
          <w:szCs w:val="16"/>
        </w:rPr>
        <w:t>. с учетом дополнительных взносов и расходований (если применимо)</w:t>
      </w:r>
      <w:r w:rsidR="00F34AC0" w:rsidRPr="00544FD8">
        <w:rPr>
          <w:rFonts w:ascii="Verdana" w:hAnsi="Verdana" w:cs="Times New Roman"/>
          <w:sz w:val="16"/>
          <w:szCs w:val="16"/>
        </w:rPr>
        <w:t>, размещенны</w:t>
      </w:r>
      <w:r w:rsidR="0068571C" w:rsidRPr="00544FD8">
        <w:rPr>
          <w:rFonts w:ascii="Verdana" w:hAnsi="Verdana" w:cs="Times New Roman"/>
          <w:sz w:val="16"/>
          <w:szCs w:val="16"/>
        </w:rPr>
        <w:t>х</w:t>
      </w:r>
      <w:r w:rsidR="00F34AC0" w:rsidRPr="00544FD8">
        <w:rPr>
          <w:rFonts w:ascii="Verdana" w:hAnsi="Verdana" w:cs="Times New Roman"/>
          <w:sz w:val="16"/>
          <w:szCs w:val="16"/>
        </w:rPr>
        <w:t xml:space="preserve"> Вкладчиком на счет</w:t>
      </w:r>
      <w:r w:rsidR="00523109" w:rsidRPr="00544FD8">
        <w:rPr>
          <w:rFonts w:ascii="Verdana" w:hAnsi="Verdana" w:cs="Times New Roman"/>
          <w:sz w:val="16"/>
          <w:szCs w:val="16"/>
        </w:rPr>
        <w:t>е</w:t>
      </w:r>
      <w:r w:rsidR="00F34AC0" w:rsidRPr="00544FD8">
        <w:rPr>
          <w:rFonts w:ascii="Verdana" w:hAnsi="Verdana" w:cs="Times New Roman"/>
          <w:sz w:val="16"/>
          <w:szCs w:val="16"/>
        </w:rPr>
        <w:t xml:space="preserve"> </w:t>
      </w:r>
      <w:r w:rsidR="007A5703" w:rsidRPr="00544FD8">
        <w:rPr>
          <w:rFonts w:ascii="Verdana" w:hAnsi="Verdana" w:cs="Times New Roman"/>
          <w:sz w:val="16"/>
          <w:szCs w:val="16"/>
        </w:rPr>
        <w:t>В</w:t>
      </w:r>
      <w:r w:rsidR="00F34AC0" w:rsidRPr="00544FD8">
        <w:rPr>
          <w:rFonts w:ascii="Verdana" w:hAnsi="Verdana" w:cs="Times New Roman"/>
          <w:sz w:val="16"/>
          <w:szCs w:val="16"/>
        </w:rPr>
        <w:t xml:space="preserve">клада </w:t>
      </w:r>
      <w:r w:rsidR="00090FFA" w:rsidRPr="00544FD8">
        <w:rPr>
          <w:rFonts w:ascii="Verdana" w:hAnsi="Verdana" w:cs="Times New Roman"/>
          <w:sz w:val="16"/>
          <w:szCs w:val="16"/>
        </w:rPr>
        <w:t xml:space="preserve">в соответствии с </w:t>
      </w:r>
      <w:r w:rsidR="00F34AC0" w:rsidRPr="00544FD8">
        <w:rPr>
          <w:rFonts w:ascii="Verdana" w:hAnsi="Verdana" w:cs="Times New Roman"/>
          <w:sz w:val="16"/>
          <w:szCs w:val="16"/>
        </w:rPr>
        <w:t>Условиями</w:t>
      </w:r>
      <w:r w:rsidR="00551D94" w:rsidRPr="00544FD8">
        <w:rPr>
          <w:rFonts w:ascii="Verdana" w:hAnsi="Verdana" w:cs="Times New Roman"/>
          <w:sz w:val="16"/>
          <w:szCs w:val="16"/>
        </w:rPr>
        <w:t xml:space="preserve"> и требованиями Программы</w:t>
      </w:r>
      <w:r w:rsidR="00090FFA" w:rsidRPr="00544FD8">
        <w:rPr>
          <w:rFonts w:ascii="Verdana" w:hAnsi="Verdana" w:cs="Times New Roman"/>
          <w:sz w:val="16"/>
          <w:szCs w:val="16"/>
        </w:rPr>
        <w:t xml:space="preserve">. </w:t>
      </w:r>
      <w:bookmarkStart w:id="0" w:name="овия"/>
      <w:bookmarkEnd w:id="0"/>
    </w:p>
    <w:p w14:paraId="60D5BE68" w14:textId="1C68CCED" w:rsidR="00A67676" w:rsidRPr="00544FD8" w:rsidRDefault="00A67676" w:rsidP="00D709F4">
      <w:p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Участник Программы</w:t>
      </w:r>
      <w:r w:rsidRPr="00544FD8">
        <w:rPr>
          <w:rFonts w:ascii="Verdana" w:hAnsi="Verdana" w:cs="Times New Roman"/>
          <w:sz w:val="16"/>
          <w:szCs w:val="16"/>
        </w:rPr>
        <w:t xml:space="preserve"> –</w:t>
      </w:r>
      <w:r w:rsidR="005051FB" w:rsidRPr="00544FD8">
        <w:rPr>
          <w:rFonts w:ascii="Verdana" w:hAnsi="Verdana" w:cs="Times New Roman"/>
          <w:sz w:val="16"/>
          <w:szCs w:val="16"/>
        </w:rPr>
        <w:t xml:space="preserve"> В</w:t>
      </w:r>
      <w:r w:rsidRPr="00544FD8">
        <w:rPr>
          <w:rFonts w:ascii="Verdana" w:hAnsi="Verdana" w:cs="Times New Roman"/>
          <w:sz w:val="16"/>
          <w:szCs w:val="16"/>
        </w:rPr>
        <w:t xml:space="preserve">кладчик </w:t>
      </w:r>
      <w:r w:rsidR="002C7FCF" w:rsidRPr="00544FD8">
        <w:rPr>
          <w:rFonts w:ascii="Verdana" w:hAnsi="Verdana" w:cs="Times New Roman"/>
          <w:sz w:val="16"/>
          <w:szCs w:val="16"/>
        </w:rPr>
        <w:t>Банка</w:t>
      </w:r>
      <w:r w:rsidRPr="00544FD8">
        <w:rPr>
          <w:rFonts w:ascii="Verdana" w:hAnsi="Verdana" w:cs="Times New Roman"/>
          <w:sz w:val="16"/>
          <w:szCs w:val="16"/>
        </w:rPr>
        <w:t xml:space="preserve">, удовлетворяющий </w:t>
      </w:r>
      <w:r w:rsidR="00633FB3" w:rsidRPr="00544FD8">
        <w:rPr>
          <w:rFonts w:ascii="Verdana" w:hAnsi="Verdana" w:cs="Times New Roman"/>
          <w:sz w:val="16"/>
          <w:szCs w:val="16"/>
        </w:rPr>
        <w:t xml:space="preserve">требованиям </w:t>
      </w:r>
      <w:r w:rsidRPr="00544FD8">
        <w:rPr>
          <w:rFonts w:ascii="Verdana" w:hAnsi="Verdana" w:cs="Times New Roman"/>
          <w:sz w:val="16"/>
          <w:szCs w:val="16"/>
        </w:rPr>
        <w:t>Программы</w:t>
      </w:r>
      <w:r w:rsidR="00D709F4" w:rsidRPr="00544FD8">
        <w:rPr>
          <w:rFonts w:ascii="Verdana" w:hAnsi="Verdana" w:cs="Times New Roman"/>
          <w:sz w:val="16"/>
          <w:szCs w:val="16"/>
        </w:rPr>
        <w:t xml:space="preserve"> (</w:t>
      </w:r>
      <w:r w:rsidR="006E47F5" w:rsidRPr="00544FD8">
        <w:rPr>
          <w:rFonts w:ascii="Verdana" w:hAnsi="Verdana" w:cs="Times New Roman"/>
          <w:sz w:val="16"/>
          <w:szCs w:val="16"/>
        </w:rPr>
        <w:t>Р</w:t>
      </w:r>
      <w:r w:rsidR="002C7FCF" w:rsidRPr="00544FD8">
        <w:rPr>
          <w:rFonts w:ascii="Verdana" w:hAnsi="Verdana" w:cs="Times New Roman"/>
          <w:sz w:val="16"/>
          <w:szCs w:val="16"/>
        </w:rPr>
        <w:t xml:space="preserve">аздел </w:t>
      </w:r>
      <w:r w:rsidR="00D709F4" w:rsidRPr="00544FD8">
        <w:rPr>
          <w:rFonts w:ascii="Verdana" w:hAnsi="Verdana" w:cs="Times New Roman"/>
          <w:sz w:val="16"/>
          <w:szCs w:val="16"/>
        </w:rPr>
        <w:t>3</w:t>
      </w:r>
      <w:r w:rsidR="00633FB3" w:rsidRPr="00544FD8">
        <w:rPr>
          <w:rFonts w:ascii="Verdana" w:hAnsi="Verdana" w:cs="Times New Roman"/>
          <w:sz w:val="16"/>
          <w:szCs w:val="16"/>
        </w:rPr>
        <w:t>)</w:t>
      </w:r>
      <w:r w:rsidR="00960DB9" w:rsidRPr="00544FD8">
        <w:rPr>
          <w:rFonts w:ascii="Verdana" w:hAnsi="Verdana" w:cs="Times New Roman"/>
          <w:sz w:val="16"/>
          <w:szCs w:val="16"/>
        </w:rPr>
        <w:t>.</w:t>
      </w:r>
    </w:p>
    <w:p w14:paraId="02F6873C" w14:textId="740B8213" w:rsidR="00A67676" w:rsidRPr="00544FD8" w:rsidRDefault="00A67676" w:rsidP="00D709F4">
      <w:pPr>
        <w:spacing w:after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Условия</w:t>
      </w:r>
      <w:r w:rsidRPr="00544FD8">
        <w:rPr>
          <w:rFonts w:ascii="Verdana" w:hAnsi="Verdana" w:cs="Times New Roman"/>
          <w:sz w:val="16"/>
          <w:szCs w:val="16"/>
        </w:rPr>
        <w:t xml:space="preserve"> </w:t>
      </w:r>
      <w:r w:rsidR="00574BFF" w:rsidRPr="00544FD8">
        <w:rPr>
          <w:rFonts w:ascii="Verdana" w:hAnsi="Verdana" w:cs="Times New Roman"/>
          <w:sz w:val="16"/>
          <w:szCs w:val="16"/>
        </w:rPr>
        <w:t>–</w:t>
      </w:r>
      <w:r w:rsidRPr="00544FD8">
        <w:rPr>
          <w:rFonts w:ascii="Verdana" w:hAnsi="Verdana" w:cs="Times New Roman"/>
          <w:sz w:val="16"/>
          <w:szCs w:val="16"/>
        </w:rPr>
        <w:t xml:space="preserve"> </w:t>
      </w:r>
      <w:r w:rsidR="00574BFF" w:rsidRPr="00544FD8">
        <w:rPr>
          <w:rFonts w:ascii="Verdana" w:hAnsi="Verdana" w:cs="Times New Roman"/>
          <w:sz w:val="16"/>
          <w:szCs w:val="16"/>
        </w:rPr>
        <w:t xml:space="preserve">Условия срочного вклада для физических лиц, утвержденные </w:t>
      </w:r>
      <w:r w:rsidR="002C7FCF" w:rsidRPr="00544FD8">
        <w:rPr>
          <w:rFonts w:ascii="Verdana" w:hAnsi="Verdana" w:cs="Times New Roman"/>
          <w:sz w:val="16"/>
          <w:szCs w:val="16"/>
        </w:rPr>
        <w:t>уполномоченным</w:t>
      </w:r>
      <w:r w:rsidR="002039AF" w:rsidRPr="00544FD8">
        <w:rPr>
          <w:rFonts w:ascii="Verdana" w:hAnsi="Verdana" w:cs="Times New Roman"/>
          <w:sz w:val="16"/>
          <w:szCs w:val="16"/>
        </w:rPr>
        <w:t xml:space="preserve"> органом </w:t>
      </w:r>
      <w:r w:rsidR="00574BFF" w:rsidRPr="00544FD8">
        <w:rPr>
          <w:rFonts w:ascii="Verdana" w:hAnsi="Verdana" w:cs="Times New Roman"/>
          <w:sz w:val="16"/>
          <w:szCs w:val="16"/>
        </w:rPr>
        <w:t>Банк</w:t>
      </w:r>
      <w:r w:rsidR="002039AF" w:rsidRPr="00544FD8">
        <w:rPr>
          <w:rFonts w:ascii="Verdana" w:hAnsi="Verdana" w:cs="Times New Roman"/>
          <w:sz w:val="16"/>
          <w:szCs w:val="16"/>
        </w:rPr>
        <w:t>а</w:t>
      </w:r>
      <w:r w:rsidR="00574BFF" w:rsidRPr="00544FD8">
        <w:rPr>
          <w:rFonts w:ascii="Verdana" w:hAnsi="Verdana" w:cs="Times New Roman"/>
          <w:sz w:val="16"/>
          <w:szCs w:val="16"/>
        </w:rPr>
        <w:t xml:space="preserve"> для каждого вида </w:t>
      </w:r>
      <w:r w:rsidR="006E753D" w:rsidRPr="00544FD8">
        <w:rPr>
          <w:rFonts w:ascii="Verdana" w:hAnsi="Verdana" w:cs="Times New Roman"/>
          <w:sz w:val="16"/>
          <w:szCs w:val="16"/>
        </w:rPr>
        <w:t>с</w:t>
      </w:r>
      <w:r w:rsidR="0098059F" w:rsidRPr="00544FD8">
        <w:rPr>
          <w:rFonts w:ascii="Verdana" w:hAnsi="Verdana" w:cs="Times New Roman"/>
          <w:sz w:val="16"/>
          <w:szCs w:val="16"/>
        </w:rPr>
        <w:t xml:space="preserve">рочного </w:t>
      </w:r>
      <w:r w:rsidR="00574BFF" w:rsidRPr="00544FD8">
        <w:rPr>
          <w:rFonts w:ascii="Verdana" w:hAnsi="Verdana" w:cs="Times New Roman"/>
          <w:sz w:val="16"/>
          <w:szCs w:val="16"/>
        </w:rPr>
        <w:t>вклада</w:t>
      </w:r>
      <w:r w:rsidR="00960DB9" w:rsidRPr="00544FD8">
        <w:rPr>
          <w:rFonts w:ascii="Verdana" w:hAnsi="Verdana" w:cs="Times New Roman"/>
          <w:sz w:val="16"/>
          <w:szCs w:val="16"/>
        </w:rPr>
        <w:t>.</w:t>
      </w:r>
    </w:p>
    <w:p w14:paraId="46AEA80B" w14:textId="77777777" w:rsidR="00D709F4" w:rsidRPr="00544FD8" w:rsidRDefault="00D709F4" w:rsidP="00D709F4">
      <w:pPr>
        <w:spacing w:after="0"/>
        <w:jc w:val="both"/>
        <w:rPr>
          <w:rFonts w:ascii="Verdana" w:hAnsi="Verdana" w:cs="Times New Roman"/>
          <w:sz w:val="16"/>
          <w:szCs w:val="16"/>
        </w:rPr>
      </w:pPr>
    </w:p>
    <w:p w14:paraId="35717E06" w14:textId="77777777" w:rsidR="00B51E39" w:rsidRPr="00544FD8" w:rsidRDefault="00633FB3" w:rsidP="00D709F4">
      <w:pPr>
        <w:pStyle w:val="a3"/>
        <w:numPr>
          <w:ilvl w:val="0"/>
          <w:numId w:val="1"/>
        </w:numPr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 xml:space="preserve">Общие положения </w:t>
      </w:r>
      <w:r w:rsidR="00B51E39" w:rsidRPr="00544FD8">
        <w:rPr>
          <w:rFonts w:ascii="Verdana" w:hAnsi="Verdana" w:cs="Times New Roman"/>
          <w:b/>
          <w:sz w:val="16"/>
          <w:szCs w:val="16"/>
        </w:rPr>
        <w:t>предоставления Бонусов Вкладчикам</w:t>
      </w:r>
      <w:r w:rsidR="004A41FF" w:rsidRPr="00544FD8">
        <w:rPr>
          <w:rFonts w:ascii="Verdana" w:hAnsi="Verdana" w:cs="Times New Roman"/>
          <w:b/>
          <w:sz w:val="16"/>
          <w:szCs w:val="16"/>
        </w:rPr>
        <w:t>:</w:t>
      </w:r>
    </w:p>
    <w:p w14:paraId="5DFC765B" w14:textId="77777777" w:rsidR="00B51E39" w:rsidRPr="00544FD8" w:rsidRDefault="007A5703" w:rsidP="00BB3A04">
      <w:pPr>
        <w:pStyle w:val="a3"/>
        <w:numPr>
          <w:ilvl w:val="0"/>
          <w:numId w:val="8"/>
        </w:numPr>
        <w:ind w:left="1134" w:hanging="567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При открытии </w:t>
      </w:r>
      <w:r w:rsidR="006E753D" w:rsidRPr="00544FD8">
        <w:rPr>
          <w:rFonts w:ascii="Verdana" w:hAnsi="Verdana" w:cs="Times New Roman"/>
          <w:sz w:val="16"/>
          <w:szCs w:val="16"/>
        </w:rPr>
        <w:t>Бонусного</w:t>
      </w:r>
      <w:r w:rsidR="00E216C8" w:rsidRPr="00544FD8">
        <w:rPr>
          <w:rFonts w:ascii="Verdana" w:hAnsi="Verdana" w:cs="Times New Roman"/>
          <w:sz w:val="16"/>
          <w:szCs w:val="16"/>
        </w:rPr>
        <w:t xml:space="preserve"> вклада </w:t>
      </w:r>
      <w:r w:rsidR="004A41FF" w:rsidRPr="00544FD8">
        <w:rPr>
          <w:rFonts w:ascii="Verdana" w:hAnsi="Verdana" w:cs="Times New Roman"/>
          <w:sz w:val="16"/>
          <w:szCs w:val="16"/>
        </w:rPr>
        <w:t>в зависимости от</w:t>
      </w:r>
      <w:r w:rsidR="00B51E39" w:rsidRPr="00544FD8">
        <w:rPr>
          <w:rFonts w:ascii="Verdana" w:hAnsi="Verdana" w:cs="Times New Roman"/>
          <w:sz w:val="16"/>
          <w:szCs w:val="16"/>
        </w:rPr>
        <w:t>:</w:t>
      </w:r>
      <w:r w:rsidR="00E216C8" w:rsidRPr="00544FD8">
        <w:rPr>
          <w:rFonts w:ascii="Verdana" w:hAnsi="Verdana" w:cs="Times New Roman"/>
          <w:sz w:val="16"/>
          <w:szCs w:val="16"/>
        </w:rPr>
        <w:t xml:space="preserve"> </w:t>
      </w:r>
    </w:p>
    <w:p w14:paraId="39557A85" w14:textId="0652ED75" w:rsidR="007D1EC8" w:rsidRPr="00544FD8" w:rsidRDefault="004A41FF" w:rsidP="00B51E39">
      <w:pPr>
        <w:pStyle w:val="a3"/>
        <w:numPr>
          <w:ilvl w:val="0"/>
          <w:numId w:val="7"/>
        </w:numPr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>п</w:t>
      </w:r>
      <w:r w:rsidR="00B51E39" w:rsidRPr="00544FD8">
        <w:rPr>
          <w:rFonts w:ascii="Verdana" w:hAnsi="Verdana" w:cs="Times New Roman"/>
          <w:sz w:val="16"/>
          <w:szCs w:val="16"/>
        </w:rPr>
        <w:t>ринадлежност</w:t>
      </w:r>
      <w:r w:rsidR="00A67941" w:rsidRPr="00544FD8">
        <w:rPr>
          <w:rFonts w:ascii="Verdana" w:hAnsi="Verdana" w:cs="Times New Roman"/>
          <w:sz w:val="16"/>
          <w:szCs w:val="16"/>
        </w:rPr>
        <w:t>и</w:t>
      </w:r>
      <w:r w:rsidR="00B51E39" w:rsidRPr="00544FD8">
        <w:rPr>
          <w:rFonts w:ascii="Verdana" w:hAnsi="Verdana" w:cs="Times New Roman"/>
          <w:sz w:val="16"/>
          <w:szCs w:val="16"/>
        </w:rPr>
        <w:t xml:space="preserve"> </w:t>
      </w:r>
      <w:r w:rsidR="00E216C8" w:rsidRPr="00544FD8">
        <w:rPr>
          <w:rFonts w:ascii="Verdana" w:hAnsi="Verdana" w:cs="Times New Roman"/>
          <w:sz w:val="16"/>
          <w:szCs w:val="16"/>
        </w:rPr>
        <w:t>Вкладчик</w:t>
      </w:r>
      <w:r w:rsidR="009B1911" w:rsidRPr="00544FD8">
        <w:rPr>
          <w:rFonts w:ascii="Verdana" w:hAnsi="Verdana" w:cs="Times New Roman"/>
          <w:sz w:val="16"/>
          <w:szCs w:val="16"/>
        </w:rPr>
        <w:t>а</w:t>
      </w:r>
      <w:r w:rsidR="00B51E39" w:rsidRPr="00544FD8">
        <w:rPr>
          <w:rFonts w:ascii="Verdana" w:hAnsi="Verdana" w:cs="Times New Roman"/>
          <w:sz w:val="16"/>
          <w:szCs w:val="16"/>
        </w:rPr>
        <w:t xml:space="preserve"> к одной из категорий Участников </w:t>
      </w:r>
      <w:r w:rsidR="004B1D6E" w:rsidRPr="00544FD8">
        <w:rPr>
          <w:rFonts w:ascii="Verdana" w:hAnsi="Verdana" w:cs="Times New Roman"/>
          <w:sz w:val="16"/>
          <w:szCs w:val="16"/>
        </w:rPr>
        <w:t>Программы</w:t>
      </w:r>
      <w:r w:rsidR="00773741" w:rsidRPr="00544FD8">
        <w:rPr>
          <w:rFonts w:ascii="Verdana" w:hAnsi="Verdana" w:cs="Times New Roman"/>
          <w:sz w:val="16"/>
          <w:szCs w:val="16"/>
        </w:rPr>
        <w:t>;</w:t>
      </w:r>
    </w:p>
    <w:p w14:paraId="75A14751" w14:textId="653779D2" w:rsidR="000F7872" w:rsidRPr="00544FD8" w:rsidRDefault="000379B9" w:rsidP="00B51E39">
      <w:pPr>
        <w:pStyle w:val="a3"/>
        <w:numPr>
          <w:ilvl w:val="0"/>
          <w:numId w:val="7"/>
        </w:numPr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>места</w:t>
      </w:r>
      <w:r w:rsidR="007A5703" w:rsidRPr="00544FD8">
        <w:rPr>
          <w:rFonts w:ascii="Verdana" w:hAnsi="Verdana" w:cs="Times New Roman"/>
          <w:sz w:val="16"/>
          <w:szCs w:val="16"/>
        </w:rPr>
        <w:t xml:space="preserve"> оформления </w:t>
      </w:r>
      <w:r w:rsidR="006E753D" w:rsidRPr="00544FD8">
        <w:rPr>
          <w:rFonts w:ascii="Verdana" w:hAnsi="Verdana" w:cs="Times New Roman"/>
          <w:sz w:val="16"/>
          <w:szCs w:val="16"/>
        </w:rPr>
        <w:t>Бонусного</w:t>
      </w:r>
      <w:r w:rsidR="00E216C8" w:rsidRPr="00544FD8">
        <w:rPr>
          <w:rFonts w:ascii="Verdana" w:hAnsi="Verdana" w:cs="Times New Roman"/>
          <w:sz w:val="16"/>
          <w:szCs w:val="16"/>
        </w:rPr>
        <w:t xml:space="preserve"> вклада</w:t>
      </w:r>
      <w:r w:rsidR="000F7872" w:rsidRPr="00544FD8">
        <w:rPr>
          <w:rFonts w:ascii="Verdana" w:hAnsi="Verdana" w:cs="Times New Roman"/>
          <w:sz w:val="16"/>
          <w:szCs w:val="16"/>
        </w:rPr>
        <w:t xml:space="preserve"> (</w:t>
      </w:r>
      <w:r w:rsidR="004A41FF" w:rsidRPr="00544FD8">
        <w:rPr>
          <w:rFonts w:ascii="Verdana" w:hAnsi="Verdana" w:cs="Times New Roman"/>
          <w:sz w:val="16"/>
          <w:szCs w:val="16"/>
        </w:rPr>
        <w:t xml:space="preserve">в </w:t>
      </w:r>
      <w:r w:rsidR="000F7872" w:rsidRPr="00544FD8">
        <w:rPr>
          <w:rFonts w:ascii="Verdana" w:hAnsi="Verdana" w:cs="Times New Roman"/>
          <w:sz w:val="16"/>
          <w:szCs w:val="16"/>
        </w:rPr>
        <w:t>офис</w:t>
      </w:r>
      <w:r w:rsidR="004A41FF" w:rsidRPr="00544FD8">
        <w:rPr>
          <w:rFonts w:ascii="Verdana" w:hAnsi="Verdana" w:cs="Times New Roman"/>
          <w:sz w:val="16"/>
          <w:szCs w:val="16"/>
        </w:rPr>
        <w:t>е Банка</w:t>
      </w:r>
      <w:r w:rsidR="000F7872" w:rsidRPr="00544FD8">
        <w:rPr>
          <w:rFonts w:ascii="Verdana" w:hAnsi="Verdana" w:cs="Times New Roman"/>
          <w:sz w:val="16"/>
          <w:szCs w:val="16"/>
        </w:rPr>
        <w:t xml:space="preserve"> или </w:t>
      </w:r>
      <w:r w:rsidR="004A41FF" w:rsidRPr="00544FD8">
        <w:rPr>
          <w:rFonts w:ascii="Verdana" w:hAnsi="Verdana" w:cs="Times New Roman"/>
          <w:sz w:val="16"/>
          <w:szCs w:val="16"/>
        </w:rPr>
        <w:t xml:space="preserve">через </w:t>
      </w:r>
      <w:r w:rsidR="00996AFE" w:rsidRPr="00544FD8">
        <w:rPr>
          <w:rFonts w:ascii="Verdana" w:hAnsi="Verdana" w:cs="Times New Roman"/>
          <w:sz w:val="16"/>
          <w:szCs w:val="16"/>
        </w:rPr>
        <w:t xml:space="preserve">Систему </w:t>
      </w:r>
      <w:r w:rsidR="000F7872" w:rsidRPr="00544FD8">
        <w:rPr>
          <w:rFonts w:ascii="Verdana" w:hAnsi="Verdana" w:cs="Times New Roman"/>
          <w:sz w:val="16"/>
          <w:szCs w:val="16"/>
        </w:rPr>
        <w:t>Интернет-Банк</w:t>
      </w:r>
      <w:r w:rsidR="00996AFE" w:rsidRPr="00544FD8">
        <w:rPr>
          <w:rFonts w:ascii="Verdana" w:hAnsi="Verdana" w:cs="Times New Roman"/>
          <w:sz w:val="16"/>
          <w:szCs w:val="16"/>
        </w:rPr>
        <w:t xml:space="preserve"> «ББР Онлайн»</w:t>
      </w:r>
      <w:r w:rsidR="00E91601" w:rsidRPr="00544FD8">
        <w:rPr>
          <w:rFonts w:ascii="Verdana" w:hAnsi="Verdana" w:cs="Times New Roman"/>
          <w:sz w:val="16"/>
          <w:szCs w:val="16"/>
        </w:rPr>
        <w:t>/ Мобильный банк</w:t>
      </w:r>
      <w:r w:rsidR="000F7872" w:rsidRPr="00544FD8">
        <w:rPr>
          <w:rFonts w:ascii="Verdana" w:hAnsi="Verdana" w:cs="Times New Roman"/>
          <w:sz w:val="16"/>
          <w:szCs w:val="16"/>
        </w:rPr>
        <w:t>)</w:t>
      </w:r>
      <w:r w:rsidR="00773741" w:rsidRPr="00544FD8">
        <w:rPr>
          <w:rFonts w:ascii="Verdana" w:hAnsi="Verdana" w:cs="Times New Roman"/>
          <w:sz w:val="16"/>
          <w:szCs w:val="16"/>
        </w:rPr>
        <w:t>;</w:t>
      </w:r>
    </w:p>
    <w:p w14:paraId="4739E7A9" w14:textId="7E44A467" w:rsidR="000F7872" w:rsidRPr="00544FD8" w:rsidRDefault="00E216C8" w:rsidP="00B51E39">
      <w:pPr>
        <w:pStyle w:val="a3"/>
        <w:numPr>
          <w:ilvl w:val="0"/>
          <w:numId w:val="7"/>
        </w:numPr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иных параметров, изложенных в </w:t>
      </w:r>
      <w:r w:rsidR="006E47F5" w:rsidRPr="00544FD8">
        <w:rPr>
          <w:rFonts w:ascii="Verdana" w:hAnsi="Verdana" w:cs="Times New Roman"/>
          <w:sz w:val="16"/>
          <w:szCs w:val="16"/>
        </w:rPr>
        <w:t>Р</w:t>
      </w:r>
      <w:r w:rsidR="000F7872" w:rsidRPr="00544FD8">
        <w:rPr>
          <w:rFonts w:ascii="Verdana" w:hAnsi="Verdana" w:cs="Times New Roman"/>
          <w:sz w:val="16"/>
          <w:szCs w:val="16"/>
        </w:rPr>
        <w:t xml:space="preserve">азделе </w:t>
      </w:r>
      <w:r w:rsidR="002A0677" w:rsidRPr="00544FD8">
        <w:rPr>
          <w:rFonts w:ascii="Verdana" w:hAnsi="Verdana" w:cs="Times New Roman"/>
          <w:sz w:val="16"/>
          <w:szCs w:val="16"/>
        </w:rPr>
        <w:t>3</w:t>
      </w:r>
      <w:r w:rsidR="00BB3A04" w:rsidRPr="00544FD8">
        <w:rPr>
          <w:rFonts w:ascii="Verdana" w:hAnsi="Verdana" w:cs="Times New Roman"/>
          <w:sz w:val="16"/>
          <w:szCs w:val="16"/>
        </w:rPr>
        <w:t xml:space="preserve"> настоящей Программы</w:t>
      </w:r>
      <w:r w:rsidR="00773741" w:rsidRPr="00544FD8">
        <w:rPr>
          <w:rFonts w:ascii="Verdana" w:hAnsi="Verdana" w:cs="Times New Roman"/>
          <w:sz w:val="16"/>
          <w:szCs w:val="16"/>
        </w:rPr>
        <w:t>.</w:t>
      </w:r>
    </w:p>
    <w:p w14:paraId="706D4A3A" w14:textId="77777777" w:rsidR="003C0345" w:rsidRPr="00544FD8" w:rsidRDefault="003C0345" w:rsidP="00BB3A04">
      <w:pPr>
        <w:pStyle w:val="a3"/>
        <w:ind w:left="1080" w:hanging="371"/>
        <w:jc w:val="both"/>
        <w:rPr>
          <w:rFonts w:ascii="Verdana" w:hAnsi="Verdana" w:cs="Times New Roman"/>
          <w:b/>
          <w:sz w:val="16"/>
          <w:szCs w:val="16"/>
        </w:rPr>
      </w:pPr>
    </w:p>
    <w:p w14:paraId="2BC57C7F" w14:textId="77777777" w:rsidR="00BB3A04" w:rsidRPr="00544FD8" w:rsidRDefault="00BB3A04" w:rsidP="00BB3A04">
      <w:pPr>
        <w:pStyle w:val="a3"/>
        <w:ind w:left="1080" w:hanging="371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Бонусы не предоставляются</w:t>
      </w:r>
      <w:r w:rsidRPr="00544FD8">
        <w:rPr>
          <w:rFonts w:ascii="Verdana" w:hAnsi="Verdana" w:cs="Times New Roman"/>
          <w:sz w:val="16"/>
          <w:szCs w:val="16"/>
        </w:rPr>
        <w:t>:</w:t>
      </w:r>
    </w:p>
    <w:p w14:paraId="5245DD7E" w14:textId="4F1FA59C" w:rsidR="00BB3A04" w:rsidRPr="00544FD8" w:rsidRDefault="00BB3A04" w:rsidP="00097F29">
      <w:pPr>
        <w:pStyle w:val="a3"/>
        <w:numPr>
          <w:ilvl w:val="0"/>
          <w:numId w:val="9"/>
        </w:numPr>
        <w:ind w:left="1134" w:hanging="567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>При открытии</w:t>
      </w:r>
      <w:r w:rsidR="007F313B" w:rsidRPr="00544FD8">
        <w:rPr>
          <w:rFonts w:ascii="Verdana" w:hAnsi="Verdana" w:cs="Times New Roman"/>
          <w:sz w:val="16"/>
          <w:szCs w:val="16"/>
        </w:rPr>
        <w:t xml:space="preserve"> </w:t>
      </w:r>
      <w:r w:rsidR="006E753D" w:rsidRPr="00544FD8">
        <w:rPr>
          <w:rFonts w:ascii="Verdana" w:hAnsi="Verdana" w:cs="Times New Roman"/>
          <w:sz w:val="16"/>
          <w:szCs w:val="16"/>
        </w:rPr>
        <w:t>Бонусных</w:t>
      </w:r>
      <w:r w:rsidR="000379B9" w:rsidRPr="00544FD8">
        <w:rPr>
          <w:rFonts w:ascii="Verdana" w:hAnsi="Verdana" w:cs="Times New Roman"/>
          <w:sz w:val="16"/>
          <w:szCs w:val="16"/>
        </w:rPr>
        <w:t xml:space="preserve"> </w:t>
      </w:r>
      <w:r w:rsidRPr="00544FD8">
        <w:rPr>
          <w:rFonts w:ascii="Verdana" w:hAnsi="Verdana" w:cs="Times New Roman"/>
          <w:sz w:val="16"/>
          <w:szCs w:val="16"/>
        </w:rPr>
        <w:t>вклад</w:t>
      </w:r>
      <w:r w:rsidR="000379B9" w:rsidRPr="00544FD8">
        <w:rPr>
          <w:rFonts w:ascii="Verdana" w:hAnsi="Verdana" w:cs="Times New Roman"/>
          <w:sz w:val="16"/>
          <w:szCs w:val="16"/>
        </w:rPr>
        <w:t>ов</w:t>
      </w:r>
      <w:r w:rsidR="00E9221C" w:rsidRPr="00544FD8">
        <w:rPr>
          <w:rFonts w:ascii="Verdana" w:hAnsi="Verdana" w:cs="Times New Roman"/>
          <w:sz w:val="16"/>
          <w:szCs w:val="16"/>
        </w:rPr>
        <w:t xml:space="preserve">, </w:t>
      </w:r>
      <w:r w:rsidR="00475F07" w:rsidRPr="00544FD8">
        <w:rPr>
          <w:rFonts w:ascii="Verdana" w:hAnsi="Verdana" w:cs="Times New Roman"/>
          <w:sz w:val="16"/>
          <w:szCs w:val="16"/>
        </w:rPr>
        <w:t>оформленных</w:t>
      </w:r>
      <w:r w:rsidR="00E9221C" w:rsidRPr="00544FD8">
        <w:rPr>
          <w:rFonts w:ascii="Verdana" w:hAnsi="Verdana" w:cs="Times New Roman"/>
          <w:sz w:val="16"/>
          <w:szCs w:val="16"/>
        </w:rPr>
        <w:t xml:space="preserve"> </w:t>
      </w:r>
      <w:r w:rsidRPr="00544FD8">
        <w:rPr>
          <w:rFonts w:ascii="Verdana" w:hAnsi="Verdana" w:cs="Times New Roman"/>
          <w:sz w:val="16"/>
          <w:szCs w:val="16"/>
        </w:rPr>
        <w:t>в пользу 3-их лиц</w:t>
      </w:r>
      <w:r w:rsidR="00773741" w:rsidRPr="00544FD8">
        <w:rPr>
          <w:rFonts w:ascii="Verdana" w:hAnsi="Verdana" w:cs="Times New Roman"/>
          <w:sz w:val="16"/>
          <w:szCs w:val="16"/>
        </w:rPr>
        <w:t>;</w:t>
      </w:r>
    </w:p>
    <w:p w14:paraId="4BB48383" w14:textId="2C72AFCA" w:rsidR="00A74055" w:rsidRPr="00544FD8" w:rsidRDefault="00A74055" w:rsidP="00097F29">
      <w:pPr>
        <w:pStyle w:val="a3"/>
        <w:numPr>
          <w:ilvl w:val="0"/>
          <w:numId w:val="9"/>
        </w:numPr>
        <w:ind w:left="1134" w:hanging="567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>При оформлении вклада в иностранной валюте;</w:t>
      </w:r>
    </w:p>
    <w:p w14:paraId="1AEF44E0" w14:textId="3F3E4F3B" w:rsidR="002148E9" w:rsidRPr="00544FD8" w:rsidRDefault="00DB7C3E" w:rsidP="001265E3">
      <w:pPr>
        <w:pStyle w:val="a3"/>
        <w:numPr>
          <w:ilvl w:val="0"/>
          <w:numId w:val="9"/>
        </w:numPr>
        <w:ind w:left="1134" w:hanging="567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При отказе Вкладчика </w:t>
      </w:r>
      <w:r w:rsidR="00C6412B" w:rsidRPr="00544FD8">
        <w:rPr>
          <w:rFonts w:ascii="Verdana" w:hAnsi="Verdana" w:cs="Times New Roman"/>
          <w:sz w:val="16"/>
          <w:szCs w:val="16"/>
        </w:rPr>
        <w:t>от</w:t>
      </w:r>
      <w:r w:rsidRPr="00544FD8">
        <w:rPr>
          <w:rFonts w:ascii="Verdana" w:hAnsi="Verdana" w:cs="Times New Roman"/>
          <w:sz w:val="16"/>
          <w:szCs w:val="16"/>
        </w:rPr>
        <w:t xml:space="preserve"> Полиса в период </w:t>
      </w:r>
      <w:r w:rsidR="002C2C51" w:rsidRPr="00544FD8">
        <w:rPr>
          <w:rFonts w:ascii="Verdana" w:hAnsi="Verdana" w:cs="Times New Roman"/>
          <w:sz w:val="16"/>
          <w:szCs w:val="16"/>
        </w:rPr>
        <w:t>времени</w:t>
      </w:r>
      <w:r w:rsidRPr="00544FD8">
        <w:rPr>
          <w:rFonts w:ascii="Verdana" w:hAnsi="Verdana" w:cs="Times New Roman"/>
          <w:sz w:val="16"/>
          <w:szCs w:val="16"/>
        </w:rPr>
        <w:t>, равный 14 календарным дня</w:t>
      </w:r>
      <w:r w:rsidR="00F679CF" w:rsidRPr="00544FD8">
        <w:rPr>
          <w:rFonts w:ascii="Verdana" w:hAnsi="Verdana" w:cs="Times New Roman"/>
          <w:sz w:val="16"/>
          <w:szCs w:val="16"/>
        </w:rPr>
        <w:t>м</w:t>
      </w:r>
      <w:r w:rsidRPr="00544FD8">
        <w:rPr>
          <w:rFonts w:ascii="Verdana" w:hAnsi="Verdana" w:cs="Times New Roman"/>
          <w:sz w:val="16"/>
          <w:szCs w:val="16"/>
        </w:rPr>
        <w:t xml:space="preserve"> с даты приобретения Полиса (далее – Период охлаждения)</w:t>
      </w:r>
      <w:r w:rsidR="001265E3" w:rsidRPr="00544FD8">
        <w:rPr>
          <w:rFonts w:ascii="Verdana" w:hAnsi="Verdana" w:cs="Times New Roman"/>
          <w:sz w:val="16"/>
          <w:szCs w:val="16"/>
        </w:rPr>
        <w:t>.</w:t>
      </w:r>
    </w:p>
    <w:p w14:paraId="6832189E" w14:textId="7B498D99" w:rsidR="00EA1149" w:rsidRPr="00544FD8" w:rsidRDefault="00EA1149" w:rsidP="00097F29">
      <w:pPr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Вкладчик вправе отказаться от участия в Программе и предоставления Бонусов до заключения договора срочного вклада, указав эту информацию в </w:t>
      </w:r>
      <w:r w:rsidR="00E80CBB" w:rsidRPr="00544FD8">
        <w:rPr>
          <w:rFonts w:ascii="Verdana" w:hAnsi="Verdana" w:cs="Times New Roman"/>
          <w:sz w:val="16"/>
          <w:szCs w:val="16"/>
        </w:rPr>
        <w:t>Заявлении - отказе</w:t>
      </w:r>
      <w:r w:rsidRPr="00544FD8">
        <w:rPr>
          <w:rFonts w:ascii="Verdana" w:hAnsi="Verdana" w:cs="Times New Roman"/>
          <w:sz w:val="16"/>
          <w:szCs w:val="16"/>
        </w:rPr>
        <w:t xml:space="preserve"> (установленная Банком форма). В этом случае на его </w:t>
      </w:r>
      <w:r w:rsidR="00E80CBB" w:rsidRPr="00544FD8">
        <w:rPr>
          <w:rFonts w:ascii="Verdana" w:hAnsi="Verdana" w:cs="Times New Roman"/>
          <w:sz w:val="16"/>
          <w:szCs w:val="16"/>
        </w:rPr>
        <w:t xml:space="preserve">денежные средства </w:t>
      </w:r>
      <w:r w:rsidRPr="00544FD8">
        <w:rPr>
          <w:rFonts w:ascii="Verdana" w:hAnsi="Verdana" w:cs="Times New Roman"/>
          <w:sz w:val="16"/>
          <w:szCs w:val="16"/>
        </w:rPr>
        <w:t xml:space="preserve">будут начисляться проценты в размере, установленном Условиями для каждого вида </w:t>
      </w:r>
      <w:r w:rsidR="00EB0793" w:rsidRPr="00544FD8">
        <w:rPr>
          <w:rFonts w:ascii="Verdana" w:hAnsi="Verdana" w:cs="Times New Roman"/>
          <w:sz w:val="16"/>
          <w:szCs w:val="16"/>
        </w:rPr>
        <w:t xml:space="preserve">срочного </w:t>
      </w:r>
      <w:r w:rsidRPr="00544FD8">
        <w:rPr>
          <w:rFonts w:ascii="Verdana" w:hAnsi="Verdana" w:cs="Times New Roman"/>
          <w:sz w:val="16"/>
          <w:szCs w:val="16"/>
        </w:rPr>
        <w:t>вклада.</w:t>
      </w:r>
    </w:p>
    <w:p w14:paraId="64E75E08" w14:textId="5020F025" w:rsidR="00B3038F" w:rsidRPr="00544FD8" w:rsidRDefault="00B3038F" w:rsidP="00BB60DA">
      <w:pPr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Перечень </w:t>
      </w:r>
      <w:r w:rsidR="006E753D" w:rsidRPr="00544FD8">
        <w:rPr>
          <w:rFonts w:ascii="Verdana" w:hAnsi="Verdana" w:cs="Times New Roman"/>
          <w:sz w:val="16"/>
          <w:szCs w:val="16"/>
        </w:rPr>
        <w:t>Бонусных</w:t>
      </w:r>
      <w:r w:rsidRPr="00544FD8">
        <w:rPr>
          <w:rFonts w:ascii="Verdana" w:hAnsi="Verdana" w:cs="Times New Roman"/>
          <w:sz w:val="16"/>
          <w:szCs w:val="16"/>
        </w:rPr>
        <w:t xml:space="preserve"> вкладов, участвующих в Программе, устанавливается </w:t>
      </w:r>
      <w:r w:rsidR="00194686" w:rsidRPr="00544FD8">
        <w:rPr>
          <w:rFonts w:ascii="Verdana" w:hAnsi="Verdana" w:cs="Times New Roman"/>
          <w:sz w:val="16"/>
          <w:szCs w:val="16"/>
        </w:rPr>
        <w:t>в п.3.2</w:t>
      </w:r>
      <w:r w:rsidR="00F33CF5" w:rsidRPr="00544FD8">
        <w:rPr>
          <w:rFonts w:ascii="Verdana" w:hAnsi="Verdana" w:cs="Times New Roman"/>
          <w:sz w:val="16"/>
          <w:szCs w:val="16"/>
        </w:rPr>
        <w:t xml:space="preserve"> и </w:t>
      </w:r>
      <w:r w:rsidR="006E47F5" w:rsidRPr="00544FD8">
        <w:rPr>
          <w:rFonts w:ascii="Verdana" w:hAnsi="Verdana" w:cs="Times New Roman"/>
          <w:sz w:val="16"/>
          <w:szCs w:val="16"/>
        </w:rPr>
        <w:t>Р</w:t>
      </w:r>
      <w:r w:rsidR="00B2319E" w:rsidRPr="00544FD8">
        <w:rPr>
          <w:rFonts w:ascii="Verdana" w:hAnsi="Verdana" w:cs="Times New Roman"/>
          <w:sz w:val="16"/>
          <w:szCs w:val="16"/>
        </w:rPr>
        <w:t>азделе 6</w:t>
      </w:r>
      <w:r w:rsidR="00701202" w:rsidRPr="00544FD8">
        <w:rPr>
          <w:rFonts w:ascii="Verdana" w:hAnsi="Verdana" w:cs="Times New Roman"/>
          <w:sz w:val="16"/>
          <w:szCs w:val="16"/>
        </w:rPr>
        <w:t xml:space="preserve"> </w:t>
      </w:r>
      <w:r w:rsidRPr="00544FD8">
        <w:rPr>
          <w:rFonts w:ascii="Verdana" w:hAnsi="Verdana" w:cs="Times New Roman"/>
          <w:sz w:val="16"/>
          <w:szCs w:val="16"/>
        </w:rPr>
        <w:t>Программ</w:t>
      </w:r>
      <w:r w:rsidR="00194686" w:rsidRPr="00544FD8">
        <w:rPr>
          <w:rFonts w:ascii="Verdana" w:hAnsi="Verdana" w:cs="Times New Roman"/>
          <w:sz w:val="16"/>
          <w:szCs w:val="16"/>
        </w:rPr>
        <w:t>ы</w:t>
      </w:r>
      <w:r w:rsidR="00F33CF5" w:rsidRPr="00544FD8">
        <w:rPr>
          <w:rFonts w:ascii="Verdana" w:hAnsi="Verdana" w:cs="Times New Roman"/>
          <w:sz w:val="16"/>
          <w:szCs w:val="16"/>
        </w:rPr>
        <w:t>.</w:t>
      </w:r>
    </w:p>
    <w:p w14:paraId="1B0F43AF" w14:textId="1AA9A385" w:rsidR="00622BBF" w:rsidRPr="00544FD8" w:rsidRDefault="002A0677" w:rsidP="003F04DA">
      <w:pPr>
        <w:pStyle w:val="a3"/>
        <w:numPr>
          <w:ilvl w:val="0"/>
          <w:numId w:val="1"/>
        </w:numPr>
        <w:tabs>
          <w:tab w:val="left" w:pos="426"/>
        </w:tabs>
        <w:ind w:left="426" w:hanging="66"/>
        <w:rPr>
          <w:rFonts w:ascii="Verdana" w:hAnsi="Verdana" w:cs="Times New Roman"/>
          <w:b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lastRenderedPageBreak/>
        <w:t>Т</w:t>
      </w:r>
      <w:r w:rsidR="00A67676" w:rsidRPr="00544FD8">
        <w:rPr>
          <w:rFonts w:ascii="Verdana" w:hAnsi="Verdana" w:cs="Times New Roman"/>
          <w:b/>
          <w:sz w:val="16"/>
          <w:szCs w:val="16"/>
        </w:rPr>
        <w:t>ребования, предъявляемые к Участникам Программы</w:t>
      </w:r>
      <w:r w:rsidR="004D7B14" w:rsidRPr="00544FD8">
        <w:rPr>
          <w:rFonts w:ascii="Verdana" w:hAnsi="Verdana" w:cs="Times New Roman"/>
          <w:b/>
          <w:sz w:val="16"/>
          <w:szCs w:val="16"/>
        </w:rPr>
        <w:t xml:space="preserve"> и размеры Бонусов</w:t>
      </w:r>
    </w:p>
    <w:p w14:paraId="33A43DD5" w14:textId="78F2E441" w:rsidR="00A67676" w:rsidRPr="00544FD8" w:rsidRDefault="00622BBF" w:rsidP="00622BBF">
      <w:pPr>
        <w:pStyle w:val="a3"/>
        <w:numPr>
          <w:ilvl w:val="1"/>
          <w:numId w:val="1"/>
        </w:numPr>
        <w:ind w:left="0" w:firstLine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 Д</w:t>
      </w:r>
      <w:r w:rsidR="00510F0E" w:rsidRPr="00544FD8">
        <w:rPr>
          <w:rFonts w:ascii="Verdana" w:hAnsi="Verdana" w:cs="Times New Roman"/>
          <w:sz w:val="16"/>
          <w:szCs w:val="16"/>
        </w:rPr>
        <w:t xml:space="preserve">ля </w:t>
      </w:r>
      <w:r w:rsidR="006E753D" w:rsidRPr="00544FD8">
        <w:rPr>
          <w:rFonts w:ascii="Verdana" w:hAnsi="Verdana" w:cs="Times New Roman"/>
          <w:sz w:val="16"/>
          <w:szCs w:val="16"/>
        </w:rPr>
        <w:t>Бонусных</w:t>
      </w:r>
      <w:r w:rsidR="0098059F" w:rsidRPr="00544FD8">
        <w:rPr>
          <w:rFonts w:ascii="Verdana" w:hAnsi="Verdana" w:cs="Times New Roman"/>
          <w:sz w:val="16"/>
          <w:szCs w:val="16"/>
        </w:rPr>
        <w:t xml:space="preserve"> </w:t>
      </w:r>
      <w:r w:rsidR="00510F0E" w:rsidRPr="00544FD8">
        <w:rPr>
          <w:rFonts w:ascii="Verdana" w:hAnsi="Verdana" w:cs="Times New Roman"/>
          <w:sz w:val="16"/>
          <w:szCs w:val="16"/>
        </w:rPr>
        <w:t>вкладов</w:t>
      </w:r>
      <w:r w:rsidR="00B94EB0" w:rsidRPr="00544FD8">
        <w:rPr>
          <w:rFonts w:ascii="Verdana" w:hAnsi="Verdana" w:cs="Times New Roman"/>
          <w:sz w:val="16"/>
          <w:szCs w:val="16"/>
        </w:rPr>
        <w:t>,</w:t>
      </w:r>
      <w:r w:rsidR="00B2319E" w:rsidRPr="00544FD8">
        <w:rPr>
          <w:rFonts w:ascii="Verdana" w:hAnsi="Verdana" w:cs="Times New Roman"/>
          <w:sz w:val="16"/>
          <w:szCs w:val="16"/>
        </w:rPr>
        <w:t xml:space="preserve"> перечень которых установлен </w:t>
      </w:r>
      <w:r w:rsidR="006E47F5" w:rsidRPr="00544FD8">
        <w:rPr>
          <w:rFonts w:ascii="Verdana" w:hAnsi="Verdana" w:cs="Times New Roman"/>
          <w:sz w:val="16"/>
          <w:szCs w:val="16"/>
        </w:rPr>
        <w:t>Р</w:t>
      </w:r>
      <w:r w:rsidR="00B2319E" w:rsidRPr="00544FD8">
        <w:rPr>
          <w:rFonts w:ascii="Verdana" w:hAnsi="Verdana" w:cs="Times New Roman"/>
          <w:sz w:val="16"/>
          <w:szCs w:val="16"/>
        </w:rPr>
        <w:t>азделом 6</w:t>
      </w:r>
      <w:r w:rsidR="00423720" w:rsidRPr="00544FD8">
        <w:rPr>
          <w:rFonts w:ascii="Verdana" w:hAnsi="Verdana" w:cs="Times New Roman"/>
          <w:sz w:val="16"/>
          <w:szCs w:val="16"/>
        </w:rPr>
        <w:t xml:space="preserve"> Программы</w:t>
      </w:r>
      <w:r w:rsidR="00235D69" w:rsidRPr="00544FD8">
        <w:rPr>
          <w:rFonts w:ascii="Verdana" w:hAnsi="Verdana" w:cs="Times New Roman"/>
          <w:sz w:val="16"/>
          <w:szCs w:val="16"/>
        </w:rPr>
        <w:t>,</w:t>
      </w:r>
      <w:r w:rsidR="00E57FB5" w:rsidRPr="00544FD8">
        <w:rPr>
          <w:rFonts w:ascii="Verdana" w:hAnsi="Verdana" w:cs="Times New Roman"/>
          <w:sz w:val="16"/>
          <w:szCs w:val="16"/>
        </w:rPr>
        <w:t xml:space="preserve"> </w:t>
      </w:r>
      <w:r w:rsidR="00B94EB0" w:rsidRPr="00544FD8">
        <w:rPr>
          <w:rFonts w:ascii="Verdana" w:hAnsi="Verdana" w:cs="Times New Roman"/>
          <w:sz w:val="16"/>
          <w:szCs w:val="16"/>
        </w:rPr>
        <w:t>и отвечающих требованиям условий для предоставления Бонусов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1870"/>
        <w:gridCol w:w="5503"/>
        <w:gridCol w:w="4244"/>
      </w:tblGrid>
      <w:tr w:rsidR="00FB4BED" w:rsidRPr="00544FD8" w14:paraId="6319AFAD" w14:textId="77777777" w:rsidTr="00802B11">
        <w:tc>
          <w:tcPr>
            <w:tcW w:w="1160" w:type="pct"/>
            <w:shd w:val="clear" w:color="auto" w:fill="F2F2F2" w:themeFill="background1" w:themeFillShade="F2"/>
          </w:tcPr>
          <w:p w14:paraId="3EE4E321" w14:textId="77777777" w:rsidR="00A67676" w:rsidRPr="00544FD8" w:rsidRDefault="00A67676" w:rsidP="00A67676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>Категория Уч</w:t>
            </w:r>
            <w:r w:rsidR="00D52F68" w:rsidRPr="00544FD8">
              <w:rPr>
                <w:rFonts w:ascii="Verdana" w:hAnsi="Verdana" w:cs="Times New Roman"/>
                <w:b/>
                <w:sz w:val="16"/>
                <w:szCs w:val="16"/>
              </w:rPr>
              <w:t>а</w:t>
            </w: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>стников Программы</w:t>
            </w:r>
          </w:p>
        </w:tc>
        <w:tc>
          <w:tcPr>
            <w:tcW w:w="618" w:type="pct"/>
            <w:shd w:val="clear" w:color="auto" w:fill="F2F2F2" w:themeFill="background1" w:themeFillShade="F2"/>
          </w:tcPr>
          <w:p w14:paraId="6DEA3F27" w14:textId="77777777" w:rsidR="00A67676" w:rsidRPr="00544FD8" w:rsidRDefault="00A67676" w:rsidP="005051FB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 xml:space="preserve">Размер Бонуса </w:t>
            </w:r>
          </w:p>
        </w:tc>
        <w:tc>
          <w:tcPr>
            <w:tcW w:w="1819" w:type="pct"/>
            <w:shd w:val="clear" w:color="auto" w:fill="F2F2F2" w:themeFill="background1" w:themeFillShade="F2"/>
          </w:tcPr>
          <w:p w14:paraId="4E85B706" w14:textId="77777777" w:rsidR="00A67676" w:rsidRPr="00544FD8" w:rsidRDefault="00A67676" w:rsidP="00A67676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>Условия для предоставления Бонусов</w:t>
            </w:r>
          </w:p>
        </w:tc>
        <w:tc>
          <w:tcPr>
            <w:tcW w:w="1402" w:type="pct"/>
            <w:shd w:val="clear" w:color="auto" w:fill="F2F2F2" w:themeFill="background1" w:themeFillShade="F2"/>
          </w:tcPr>
          <w:p w14:paraId="7ACB44C2" w14:textId="77777777" w:rsidR="00A67676" w:rsidRPr="00544FD8" w:rsidRDefault="00A67676" w:rsidP="003F3426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>Кратность применения</w:t>
            </w:r>
            <w:r w:rsidR="005051FB" w:rsidRPr="00544FD8">
              <w:rPr>
                <w:rFonts w:ascii="Verdana" w:hAnsi="Verdana" w:cs="Times New Roman"/>
                <w:b/>
                <w:sz w:val="16"/>
                <w:szCs w:val="16"/>
              </w:rPr>
              <w:t xml:space="preserve"> Бонусов</w:t>
            </w:r>
          </w:p>
        </w:tc>
      </w:tr>
      <w:tr w:rsidR="00FB4BED" w:rsidRPr="00544FD8" w14:paraId="12FAFEAD" w14:textId="77777777" w:rsidTr="00E91601">
        <w:trPr>
          <w:trHeight w:val="1497"/>
        </w:trPr>
        <w:tc>
          <w:tcPr>
            <w:tcW w:w="1160" w:type="pct"/>
            <w:shd w:val="clear" w:color="auto" w:fill="auto"/>
          </w:tcPr>
          <w:p w14:paraId="6B755A95" w14:textId="7AB6A76F" w:rsidR="00B32046" w:rsidRPr="00544FD8" w:rsidRDefault="00B32046" w:rsidP="00E91601">
            <w:pPr>
              <w:spacing w:after="120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>Вкладчик-Пенсионер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 - физическое лицо, предъявившее оформленное на его имя действующее пенсионное удостоверение (ПУ) или иной документ, выданный ПФ РФ или иным уполномоченным органом РФ о назначении пенсии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14:paraId="5D99D6A1" w14:textId="77777777" w:rsidR="00B32046" w:rsidRPr="00544FD8" w:rsidRDefault="00423720" w:rsidP="00E55FBD">
            <w:pPr>
              <w:spacing w:after="0"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Информация о р</w:t>
            </w:r>
            <w:r w:rsidR="00B32046" w:rsidRPr="00544FD8">
              <w:rPr>
                <w:rFonts w:ascii="Verdana" w:hAnsi="Verdana" w:cs="Times New Roman"/>
                <w:sz w:val="16"/>
                <w:szCs w:val="16"/>
              </w:rPr>
              <w:t>азмер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е</w:t>
            </w:r>
            <w:r w:rsidR="00B32046" w:rsidRPr="00544FD8">
              <w:rPr>
                <w:rFonts w:ascii="Verdana" w:hAnsi="Verdana" w:cs="Times New Roman"/>
                <w:sz w:val="16"/>
                <w:szCs w:val="16"/>
              </w:rPr>
              <w:t xml:space="preserve"> Бонуса</w:t>
            </w:r>
            <w:r w:rsidR="009C7A90" w:rsidRPr="00544FD8">
              <w:rPr>
                <w:rFonts w:ascii="Verdana" w:hAnsi="Verdana" w:cs="Times New Roman"/>
                <w:sz w:val="16"/>
                <w:szCs w:val="16"/>
              </w:rPr>
              <w:t>, а также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 об </w:t>
            </w:r>
            <w:r w:rsidR="009C7A90" w:rsidRPr="00544FD8">
              <w:rPr>
                <w:rFonts w:ascii="Verdana" w:hAnsi="Verdana" w:cs="Times New Roman"/>
                <w:sz w:val="16"/>
                <w:szCs w:val="16"/>
              </w:rPr>
              <w:t>итоговых процентных став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ках</w:t>
            </w:r>
            <w:r w:rsidR="009C7A90" w:rsidRPr="00544FD8">
              <w:rPr>
                <w:rFonts w:ascii="Verdana" w:hAnsi="Verdana" w:cs="Times New Roman"/>
                <w:sz w:val="16"/>
                <w:szCs w:val="16"/>
              </w:rPr>
              <w:t xml:space="preserve"> с учетом Бонуса, 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о </w:t>
            </w:r>
            <w:r w:rsidR="009C7A90" w:rsidRPr="00544FD8">
              <w:rPr>
                <w:rFonts w:ascii="Verdana" w:hAnsi="Verdana" w:cs="Times New Roman"/>
                <w:sz w:val="16"/>
                <w:szCs w:val="16"/>
              </w:rPr>
              <w:t>размер</w:t>
            </w:r>
            <w:r w:rsidR="00E215EE" w:rsidRPr="00544FD8">
              <w:rPr>
                <w:rFonts w:ascii="Verdana" w:hAnsi="Verdana" w:cs="Times New Roman"/>
                <w:sz w:val="16"/>
                <w:szCs w:val="16"/>
              </w:rPr>
              <w:t>е</w:t>
            </w:r>
            <w:r w:rsidR="009C7A90" w:rsidRPr="00544FD8">
              <w:rPr>
                <w:rFonts w:ascii="Verdana" w:hAnsi="Verdana" w:cs="Times New Roman"/>
                <w:sz w:val="16"/>
                <w:szCs w:val="16"/>
              </w:rPr>
              <w:t xml:space="preserve"> минимальной гарантированной ставки по Бонусному вкладу</w:t>
            </w:r>
            <w:r w:rsidR="00B32046" w:rsidRPr="00544FD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14:paraId="33C3AE24" w14:textId="77777777" w:rsidR="00B32046" w:rsidRPr="00544FD8" w:rsidRDefault="00B32046" w:rsidP="00E55FBD">
            <w:pPr>
              <w:spacing w:after="0"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указан</w:t>
            </w:r>
            <w:r w:rsidR="00423720" w:rsidRPr="00544FD8"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 в </w:t>
            </w:r>
          </w:p>
          <w:p w14:paraId="654EBFC3" w14:textId="4157FFB7" w:rsidR="00B32046" w:rsidRPr="00544FD8" w:rsidRDefault="0055353D" w:rsidP="00E55FBD">
            <w:pPr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в </w:t>
            </w:r>
            <w:r w:rsidR="00773741" w:rsidRPr="00544FD8">
              <w:rPr>
                <w:rFonts w:ascii="Verdana" w:hAnsi="Verdana" w:cs="Times New Roman"/>
                <w:sz w:val="16"/>
                <w:szCs w:val="16"/>
              </w:rPr>
              <w:t>Р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азделе 6</w:t>
            </w: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819" w:type="pct"/>
            <w:shd w:val="clear" w:color="auto" w:fill="auto"/>
          </w:tcPr>
          <w:p w14:paraId="191F9B98" w14:textId="192B81A2" w:rsidR="00B32046" w:rsidRPr="00544FD8" w:rsidRDefault="00B32046" w:rsidP="009C6523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Открытие нового Бонусного вклада.</w:t>
            </w:r>
          </w:p>
        </w:tc>
        <w:tc>
          <w:tcPr>
            <w:tcW w:w="1402" w:type="pct"/>
            <w:shd w:val="clear" w:color="auto" w:fill="auto"/>
          </w:tcPr>
          <w:p w14:paraId="6CA0E471" w14:textId="77777777" w:rsidR="00B32046" w:rsidRPr="00544FD8" w:rsidRDefault="00B32046" w:rsidP="00E91601">
            <w:pPr>
              <w:spacing w:after="12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Неоднократное количество раз в рамках срока действия Программы.</w:t>
            </w:r>
          </w:p>
          <w:p w14:paraId="7368B52A" w14:textId="3518EC9C" w:rsidR="00B32046" w:rsidRPr="00544FD8" w:rsidRDefault="00E17EA1" w:rsidP="00E91601">
            <w:pPr>
              <w:spacing w:after="12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Применяется д</w:t>
            </w:r>
            <w:r w:rsidR="00B32046" w:rsidRPr="00544FD8">
              <w:rPr>
                <w:rFonts w:ascii="Verdana" w:hAnsi="Verdana" w:cs="Times New Roman"/>
                <w:sz w:val="16"/>
                <w:szCs w:val="16"/>
              </w:rPr>
              <w:t>ля каждого нового Бонусного вклада, удовлетворяющего условиям предоставления Бонусов.</w:t>
            </w:r>
          </w:p>
        </w:tc>
      </w:tr>
      <w:tr w:rsidR="00FB4BED" w:rsidRPr="00544FD8" w14:paraId="0D7D6398" w14:textId="77777777" w:rsidTr="00802B11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08F469" w14:textId="56C1D5E4" w:rsidR="00B32046" w:rsidRPr="00544FD8" w:rsidRDefault="00B32046" w:rsidP="00996AFE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 xml:space="preserve">Вкладчик </w:t>
            </w:r>
            <w:r w:rsidR="001D3191" w:rsidRPr="00544FD8">
              <w:rPr>
                <w:rFonts w:ascii="Verdana" w:hAnsi="Verdana" w:cs="Times New Roman"/>
                <w:b/>
                <w:sz w:val="16"/>
                <w:szCs w:val="16"/>
              </w:rPr>
              <w:t xml:space="preserve">- </w:t>
            </w: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 xml:space="preserve">Онлайн – 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физическое лицо, открывшее Бонусный вклад в </w:t>
            </w:r>
            <w:r w:rsidR="00996AFE" w:rsidRPr="00544FD8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истеме Интернет–</w:t>
            </w:r>
            <w:r w:rsidR="00996AFE" w:rsidRPr="00544FD8">
              <w:rPr>
                <w:rFonts w:ascii="Verdana" w:hAnsi="Verdana" w:cs="Times New Roman"/>
                <w:sz w:val="16"/>
                <w:szCs w:val="16"/>
              </w:rPr>
              <w:t>Б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анк</w:t>
            </w:r>
            <w:r w:rsidR="00996AFE" w:rsidRPr="00544FD8">
              <w:rPr>
                <w:rFonts w:ascii="Verdana" w:hAnsi="Verdana" w:cs="Times New Roman"/>
                <w:sz w:val="16"/>
                <w:szCs w:val="16"/>
              </w:rPr>
              <w:t xml:space="preserve"> «ББР Онлайн»</w:t>
            </w:r>
            <w:r w:rsidR="00E91601" w:rsidRPr="00544FD8">
              <w:rPr>
                <w:rFonts w:ascii="Verdana" w:hAnsi="Verdana" w:cs="Times New Roman"/>
                <w:sz w:val="16"/>
                <w:szCs w:val="16"/>
              </w:rPr>
              <w:t>/ Мобильном банке</w:t>
            </w:r>
          </w:p>
        </w:tc>
        <w:tc>
          <w:tcPr>
            <w:tcW w:w="618" w:type="pct"/>
            <w:vMerge/>
            <w:shd w:val="clear" w:color="auto" w:fill="auto"/>
          </w:tcPr>
          <w:p w14:paraId="6C953782" w14:textId="77777777" w:rsidR="00B32046" w:rsidRPr="00544FD8" w:rsidRDefault="00B32046" w:rsidP="00524A22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796B" w14:textId="7904C576" w:rsidR="00B32046" w:rsidRPr="00544FD8" w:rsidRDefault="00B32046" w:rsidP="004B1D6E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Открытие нового Бонусного вклада через </w:t>
            </w:r>
            <w:r w:rsidR="00996AFE" w:rsidRPr="00544FD8">
              <w:rPr>
                <w:rFonts w:ascii="Verdana" w:hAnsi="Verdana" w:cs="Times New Roman"/>
                <w:sz w:val="16"/>
                <w:szCs w:val="16"/>
              </w:rPr>
              <w:t>С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истему Интернет-Банк</w:t>
            </w:r>
            <w:r w:rsidR="00996AFE" w:rsidRPr="00544FD8">
              <w:rPr>
                <w:rFonts w:ascii="Verdana" w:hAnsi="Verdana" w:cs="Times New Roman"/>
                <w:sz w:val="16"/>
                <w:szCs w:val="16"/>
              </w:rPr>
              <w:t xml:space="preserve"> «ББР Онлайн»</w:t>
            </w:r>
            <w:r w:rsidR="00E91601" w:rsidRPr="00544FD8">
              <w:rPr>
                <w:rFonts w:ascii="Verdana" w:hAnsi="Verdana" w:cs="Times New Roman"/>
                <w:sz w:val="16"/>
                <w:szCs w:val="16"/>
              </w:rPr>
              <w:t>/ Мобильный банк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C6B4" w14:textId="77777777" w:rsidR="00B32046" w:rsidRPr="00544FD8" w:rsidRDefault="00B32046" w:rsidP="00E91601">
            <w:pPr>
              <w:spacing w:after="12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Неоднократное количество раз в рамках срока действия Программы.</w:t>
            </w:r>
          </w:p>
          <w:p w14:paraId="4187B025" w14:textId="6A2D85C1" w:rsidR="00B32046" w:rsidRPr="00544FD8" w:rsidRDefault="00B32046" w:rsidP="00E91601">
            <w:pPr>
              <w:spacing w:after="12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Применяется для каждого нового Бонусного вклада</w:t>
            </w:r>
            <w:r w:rsidR="00E17EA1" w:rsidRPr="00544FD8">
              <w:rPr>
                <w:rFonts w:ascii="Verdana" w:hAnsi="Verdana" w:cs="Times New Roman"/>
                <w:sz w:val="16"/>
                <w:szCs w:val="16"/>
              </w:rPr>
              <w:t>, удовлетворяющего условиям предоставления Бонусов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</w:tr>
      <w:tr w:rsidR="00FB4BED" w:rsidRPr="00544FD8" w14:paraId="370E058B" w14:textId="77777777" w:rsidTr="00802B11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73AB86" w14:textId="4FB9ED90" w:rsidR="00B32046" w:rsidRPr="00544FD8" w:rsidRDefault="001D3191" w:rsidP="00BF01B4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>Вкладчик-</w:t>
            </w:r>
            <w:r w:rsidR="00A65FAF" w:rsidRPr="00544FD8">
              <w:rPr>
                <w:rFonts w:ascii="Verdana" w:hAnsi="Verdana" w:cs="Times New Roman"/>
                <w:b/>
                <w:sz w:val="16"/>
                <w:szCs w:val="16"/>
              </w:rPr>
              <w:t xml:space="preserve">Премиум </w:t>
            </w:r>
            <w:r w:rsidR="00A65FAF" w:rsidRPr="00544FD8">
              <w:rPr>
                <w:rFonts w:ascii="Verdana" w:hAnsi="Verdana" w:cs="Times New Roman"/>
                <w:sz w:val="16"/>
                <w:szCs w:val="16"/>
              </w:rPr>
              <w:t>– физическое лицо</w:t>
            </w:r>
            <w:r w:rsidR="00BF01B4" w:rsidRPr="00544FD8">
              <w:rPr>
                <w:rFonts w:ascii="Verdana" w:hAnsi="Verdana" w:cs="Times New Roman"/>
                <w:sz w:val="16"/>
                <w:szCs w:val="16"/>
              </w:rPr>
              <w:t>, открывшее Бонусный вклад на сумму от 3 000 000 рублей РФ</w:t>
            </w:r>
          </w:p>
        </w:tc>
        <w:tc>
          <w:tcPr>
            <w:tcW w:w="618" w:type="pct"/>
            <w:vMerge/>
            <w:shd w:val="clear" w:color="auto" w:fill="auto"/>
          </w:tcPr>
          <w:p w14:paraId="2487FCBD" w14:textId="77777777" w:rsidR="00B32046" w:rsidRPr="00544FD8" w:rsidRDefault="00B32046" w:rsidP="00524A22">
            <w:pPr>
              <w:spacing w:after="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8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39C7" w14:textId="1180DFBF" w:rsidR="00B32046" w:rsidRPr="00544FD8" w:rsidRDefault="00D7517E" w:rsidP="00C34364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Открытие нового Бонусного вклада</w:t>
            </w:r>
            <w:r w:rsidR="009C6523" w:rsidRPr="00544FD8">
              <w:rPr>
                <w:rFonts w:ascii="Verdana" w:hAnsi="Verdana" w:cs="Times New Roman"/>
                <w:sz w:val="16"/>
                <w:szCs w:val="16"/>
              </w:rPr>
              <w:t xml:space="preserve"> на сумму от 3 000 000 рублей РФ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E40B" w14:textId="77777777" w:rsidR="00DC124E" w:rsidRPr="00544FD8" w:rsidRDefault="00DC124E" w:rsidP="00E91601">
            <w:pPr>
              <w:spacing w:after="12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Неоднократное количество раз в рамках срока действия Программы.</w:t>
            </w:r>
          </w:p>
          <w:p w14:paraId="180947A3" w14:textId="03AA9473" w:rsidR="00B32046" w:rsidRPr="00544FD8" w:rsidRDefault="00DC124E" w:rsidP="00E91601">
            <w:pPr>
              <w:spacing w:after="12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Применяется для каждого нового Бонусного вклада</w:t>
            </w:r>
            <w:r w:rsidR="00E17EA1" w:rsidRPr="00544FD8">
              <w:rPr>
                <w:rFonts w:ascii="Verdana" w:hAnsi="Verdana" w:cs="Times New Roman"/>
                <w:sz w:val="16"/>
                <w:szCs w:val="16"/>
              </w:rPr>
              <w:t>, удовлетворяющего условиям предоставления Бонусов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</w:tr>
      <w:tr w:rsidR="00FB4BED" w:rsidRPr="00544FD8" w14:paraId="34D7CB46" w14:textId="77777777" w:rsidTr="00802B11">
        <w:tc>
          <w:tcPr>
            <w:tcW w:w="1160" w:type="pct"/>
            <w:shd w:val="clear" w:color="auto" w:fill="auto"/>
          </w:tcPr>
          <w:p w14:paraId="2FF76A5B" w14:textId="6D241ADD" w:rsidR="00B32046" w:rsidRPr="00544FD8" w:rsidRDefault="00E10279" w:rsidP="00773741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>Л</w:t>
            </w:r>
            <w:r w:rsidR="00B32046" w:rsidRPr="00544FD8">
              <w:rPr>
                <w:rFonts w:ascii="Verdana" w:hAnsi="Verdana" w:cs="Times New Roman"/>
                <w:b/>
                <w:sz w:val="16"/>
                <w:szCs w:val="16"/>
              </w:rPr>
              <w:t xml:space="preserve">ояльный </w:t>
            </w:r>
            <w:r w:rsidR="00802B11" w:rsidRPr="00544FD8"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="00B32046" w:rsidRPr="00544FD8">
              <w:rPr>
                <w:rFonts w:ascii="Verdana" w:hAnsi="Verdana" w:cs="Times New Roman"/>
                <w:b/>
                <w:sz w:val="16"/>
                <w:szCs w:val="16"/>
              </w:rPr>
              <w:t xml:space="preserve">кладчик – </w:t>
            </w:r>
            <w:r w:rsidR="00B32046" w:rsidRPr="00544FD8">
              <w:rPr>
                <w:rFonts w:ascii="Verdana" w:hAnsi="Verdana" w:cs="Times New Roman"/>
                <w:sz w:val="16"/>
                <w:szCs w:val="16"/>
              </w:rPr>
              <w:t>физическое лицо, приобретшее (предъявившее) Полис</w:t>
            </w:r>
          </w:p>
        </w:tc>
        <w:tc>
          <w:tcPr>
            <w:tcW w:w="618" w:type="pct"/>
            <w:vMerge/>
            <w:shd w:val="clear" w:color="auto" w:fill="auto"/>
          </w:tcPr>
          <w:p w14:paraId="41B7FC20" w14:textId="77777777" w:rsidR="00B32046" w:rsidRPr="00544FD8" w:rsidRDefault="00B32046" w:rsidP="007521A4">
            <w:pPr>
              <w:spacing w:after="0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819" w:type="pct"/>
            <w:shd w:val="clear" w:color="auto" w:fill="auto"/>
          </w:tcPr>
          <w:p w14:paraId="4A503403" w14:textId="23604DC0" w:rsidR="00B32046" w:rsidRPr="00544FD8" w:rsidRDefault="00B32046" w:rsidP="0014309F">
            <w:pPr>
              <w:spacing w:after="0" w:line="240" w:lineRule="auto"/>
              <w:ind w:left="36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При наличии действующего Полиса в следующих </w:t>
            </w:r>
            <w:r w:rsidR="006524FB" w:rsidRPr="00544FD8">
              <w:rPr>
                <w:rFonts w:ascii="Verdana" w:hAnsi="Verdana" w:cs="Times New Roman"/>
                <w:sz w:val="16"/>
                <w:szCs w:val="16"/>
              </w:rPr>
              <w:t>случаях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:</w:t>
            </w:r>
          </w:p>
          <w:p w14:paraId="01E82F82" w14:textId="77777777" w:rsidR="00D33E1A" w:rsidRPr="00544FD8" w:rsidRDefault="00D33E1A" w:rsidP="0014309F">
            <w:pPr>
              <w:spacing w:after="0" w:line="240" w:lineRule="auto"/>
              <w:ind w:left="36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1. Открытие нового Бонусного вклада.</w:t>
            </w:r>
          </w:p>
          <w:p w14:paraId="68E11ACD" w14:textId="67A6F240" w:rsidR="00B32046" w:rsidRPr="00544FD8" w:rsidRDefault="006524FB" w:rsidP="008B2E40">
            <w:pPr>
              <w:spacing w:after="0" w:line="240" w:lineRule="auto"/>
              <w:ind w:left="36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2</w:t>
            </w:r>
            <w:r w:rsidR="00B32046" w:rsidRPr="00544FD8">
              <w:rPr>
                <w:rFonts w:ascii="Verdana" w:hAnsi="Verdana" w:cs="Times New Roman"/>
                <w:sz w:val="16"/>
                <w:szCs w:val="16"/>
              </w:rPr>
              <w:t>. Открытие</w:t>
            </w:r>
            <w:r w:rsidR="004474B8" w:rsidRPr="00544FD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B32046" w:rsidRPr="00544FD8">
              <w:rPr>
                <w:rFonts w:ascii="Verdana" w:hAnsi="Verdana" w:cs="Times New Roman"/>
                <w:sz w:val="16"/>
                <w:szCs w:val="16"/>
              </w:rPr>
              <w:t xml:space="preserve">Бонусного вклада не позже </w:t>
            </w:r>
            <w:r w:rsidR="002E00C2" w:rsidRPr="00544FD8">
              <w:rPr>
                <w:rFonts w:ascii="Verdana" w:hAnsi="Verdana" w:cs="Times New Roman"/>
                <w:sz w:val="16"/>
                <w:szCs w:val="16"/>
              </w:rPr>
              <w:t xml:space="preserve">90 </w:t>
            </w:r>
            <w:r w:rsidR="004474B8" w:rsidRPr="00544FD8">
              <w:rPr>
                <w:rFonts w:ascii="Verdana" w:hAnsi="Verdana" w:cs="Times New Roman"/>
                <w:sz w:val="16"/>
                <w:szCs w:val="16"/>
              </w:rPr>
              <w:t>календарн</w:t>
            </w:r>
            <w:r w:rsidR="002E00C2" w:rsidRPr="00544FD8">
              <w:rPr>
                <w:rFonts w:ascii="Verdana" w:hAnsi="Verdana" w:cs="Times New Roman"/>
                <w:sz w:val="16"/>
                <w:szCs w:val="16"/>
              </w:rPr>
              <w:t>ых дней</w:t>
            </w:r>
            <w:r w:rsidR="00B564EF" w:rsidRPr="00544FD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B32046" w:rsidRPr="00544FD8">
              <w:rPr>
                <w:rFonts w:ascii="Verdana" w:hAnsi="Verdana" w:cs="Times New Roman"/>
                <w:sz w:val="16"/>
                <w:szCs w:val="16"/>
              </w:rPr>
              <w:t xml:space="preserve">с даты досрочного востребования </w:t>
            </w:r>
            <w:r w:rsidR="008533DB" w:rsidRPr="00544FD8">
              <w:rPr>
                <w:rFonts w:ascii="Verdana" w:hAnsi="Verdana" w:cs="Times New Roman"/>
                <w:sz w:val="16"/>
                <w:szCs w:val="16"/>
              </w:rPr>
              <w:t>Бонусного в</w:t>
            </w:r>
            <w:r w:rsidR="00B32046" w:rsidRPr="00544FD8">
              <w:rPr>
                <w:rFonts w:ascii="Verdana" w:hAnsi="Verdana" w:cs="Times New Roman"/>
                <w:sz w:val="16"/>
                <w:szCs w:val="16"/>
              </w:rPr>
              <w:t xml:space="preserve">клада, </w:t>
            </w:r>
            <w:r w:rsidR="0045642E" w:rsidRPr="00544FD8">
              <w:rPr>
                <w:rFonts w:ascii="Verdana" w:hAnsi="Verdana" w:cs="Times New Roman"/>
                <w:sz w:val="16"/>
                <w:szCs w:val="16"/>
              </w:rPr>
              <w:t>открытого по условиям п. 1.</w:t>
            </w:r>
            <w:r w:rsidR="008533DB" w:rsidRPr="00544FD8">
              <w:rPr>
                <w:rFonts w:ascii="Verdana" w:hAnsi="Verdana" w:cs="Times New Roman"/>
                <w:sz w:val="16"/>
                <w:szCs w:val="16"/>
              </w:rPr>
              <w:t xml:space="preserve">/ Вклада, открытого в рамкам проводимых Банком на основании распорядительных документов </w:t>
            </w:r>
            <w:proofErr w:type="spellStart"/>
            <w:r w:rsidR="008533DB" w:rsidRPr="00544FD8">
              <w:rPr>
                <w:rFonts w:ascii="Verdana" w:hAnsi="Verdana" w:cs="Times New Roman"/>
                <w:sz w:val="16"/>
                <w:szCs w:val="16"/>
              </w:rPr>
              <w:t>акционных</w:t>
            </w:r>
            <w:proofErr w:type="spellEnd"/>
            <w:r w:rsidR="008533DB" w:rsidRPr="00544FD8">
              <w:rPr>
                <w:rFonts w:ascii="Verdana" w:hAnsi="Verdana" w:cs="Times New Roman"/>
                <w:sz w:val="16"/>
                <w:szCs w:val="16"/>
              </w:rPr>
              <w:t xml:space="preserve"> мероприятий по срочным вкладам физических лиц, предусматривающим дополнительные процентные поощрения за приобретение (предъявление) Полиса.</w:t>
            </w:r>
          </w:p>
        </w:tc>
        <w:tc>
          <w:tcPr>
            <w:tcW w:w="1402" w:type="pct"/>
            <w:shd w:val="clear" w:color="auto" w:fill="auto"/>
          </w:tcPr>
          <w:p w14:paraId="6BB8092F" w14:textId="09BE886A" w:rsidR="008533DB" w:rsidRPr="00544FD8" w:rsidRDefault="00B32046" w:rsidP="006F78FE">
            <w:pPr>
              <w:contextualSpacing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Применяется </w:t>
            </w:r>
            <w:r w:rsidR="00E846CD" w:rsidRPr="00544FD8">
              <w:rPr>
                <w:rFonts w:ascii="Verdana" w:hAnsi="Verdana" w:cs="Times New Roman"/>
                <w:sz w:val="16"/>
                <w:szCs w:val="16"/>
              </w:rPr>
              <w:t>дважды в течение срока действия Полиса:</w:t>
            </w:r>
          </w:p>
          <w:p w14:paraId="56DF6DDF" w14:textId="77777777" w:rsidR="008533DB" w:rsidRPr="00544FD8" w:rsidRDefault="008533DB" w:rsidP="006F78FE">
            <w:pPr>
              <w:contextualSpacing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- однократно по п.1.</w:t>
            </w:r>
          </w:p>
          <w:p w14:paraId="62D58839" w14:textId="6B84D54F" w:rsidR="00B32046" w:rsidRPr="00544FD8" w:rsidRDefault="008533DB" w:rsidP="006F78FE">
            <w:pPr>
              <w:contextualSpacing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sz w:val="16"/>
                <w:szCs w:val="16"/>
              </w:rPr>
              <w:t>- однократно по п. 2</w:t>
            </w:r>
            <w:r w:rsidR="003B536B" w:rsidRPr="00544FD8">
              <w:rPr>
                <w:rFonts w:ascii="Verdana" w:hAnsi="Verdana" w:cs="Times New Roman"/>
                <w:sz w:val="16"/>
                <w:szCs w:val="16"/>
              </w:rPr>
              <w:t>, если Полис является действующим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</w:tr>
      <w:tr w:rsidR="00FB4BED" w:rsidRPr="00544FD8" w14:paraId="2B0E7AA8" w14:textId="77777777" w:rsidTr="00E91601">
        <w:trPr>
          <w:trHeight w:val="622"/>
        </w:trPr>
        <w:tc>
          <w:tcPr>
            <w:tcW w:w="5000" w:type="pct"/>
            <w:gridSpan w:val="4"/>
            <w:shd w:val="clear" w:color="auto" w:fill="auto"/>
          </w:tcPr>
          <w:p w14:paraId="559E0ABB" w14:textId="21C6C950" w:rsidR="00A67676" w:rsidRPr="00544FD8" w:rsidRDefault="00A67676" w:rsidP="00E91601">
            <w:pPr>
              <w:spacing w:after="120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544FD8">
              <w:rPr>
                <w:rFonts w:ascii="Verdana" w:hAnsi="Verdana" w:cs="Times New Roman"/>
                <w:b/>
                <w:sz w:val="16"/>
                <w:szCs w:val="16"/>
              </w:rPr>
              <w:t>Примечание: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574BFF" w:rsidRPr="00544FD8">
              <w:rPr>
                <w:rFonts w:ascii="Verdana" w:hAnsi="Verdana" w:cs="Times New Roman"/>
                <w:sz w:val="16"/>
                <w:szCs w:val="16"/>
              </w:rPr>
              <w:t>Бонусы</w:t>
            </w:r>
            <w:r w:rsidR="00BB3A04" w:rsidRPr="00544FD8">
              <w:rPr>
                <w:rFonts w:ascii="Verdana" w:hAnsi="Verdana" w:cs="Times New Roman"/>
                <w:sz w:val="16"/>
                <w:szCs w:val="16"/>
              </w:rPr>
              <w:t xml:space="preserve"> не суммирую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тся, если </w:t>
            </w:r>
            <w:r w:rsidR="00D74123" w:rsidRPr="00544FD8">
              <w:rPr>
                <w:rFonts w:ascii="Verdana" w:hAnsi="Verdana" w:cs="Times New Roman"/>
                <w:sz w:val="16"/>
                <w:szCs w:val="16"/>
              </w:rPr>
              <w:t xml:space="preserve">Участник Программы 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одновременно относится к </w:t>
            </w:r>
            <w:r w:rsidR="00574BFF" w:rsidRPr="00544FD8">
              <w:rPr>
                <w:rFonts w:ascii="Verdana" w:hAnsi="Verdana" w:cs="Times New Roman"/>
                <w:sz w:val="16"/>
                <w:szCs w:val="16"/>
              </w:rPr>
              <w:t xml:space="preserve">разным </w:t>
            </w:r>
            <w:r w:rsidRPr="00544FD8">
              <w:rPr>
                <w:rFonts w:ascii="Verdana" w:hAnsi="Verdana" w:cs="Times New Roman"/>
                <w:sz w:val="16"/>
                <w:szCs w:val="16"/>
              </w:rPr>
              <w:t xml:space="preserve">категориям. </w:t>
            </w:r>
            <w:r w:rsidR="002A192A" w:rsidRPr="00544FD8">
              <w:rPr>
                <w:rFonts w:ascii="Verdana" w:hAnsi="Verdana" w:cs="Times New Roman"/>
                <w:sz w:val="16"/>
                <w:szCs w:val="16"/>
              </w:rPr>
              <w:t>В данном случае к Участнику Программы применяется наи</w:t>
            </w:r>
            <w:r w:rsidR="006B76FF" w:rsidRPr="00544FD8">
              <w:rPr>
                <w:rFonts w:ascii="Verdana" w:hAnsi="Verdana" w:cs="Times New Roman"/>
                <w:sz w:val="16"/>
                <w:szCs w:val="16"/>
              </w:rPr>
              <w:t>большая</w:t>
            </w:r>
            <w:r w:rsidR="002A192A" w:rsidRPr="00544FD8">
              <w:rPr>
                <w:rFonts w:ascii="Verdana" w:hAnsi="Verdana" w:cs="Times New Roman"/>
                <w:sz w:val="16"/>
                <w:szCs w:val="16"/>
              </w:rPr>
              <w:t xml:space="preserve"> величина Бонуса.</w:t>
            </w:r>
            <w:r w:rsidR="001755DE" w:rsidRPr="00544FD8">
              <w:rPr>
                <w:rFonts w:ascii="Verdana" w:hAnsi="Verdana" w:cs="Times New Roman"/>
                <w:sz w:val="16"/>
                <w:szCs w:val="16"/>
              </w:rPr>
              <w:t xml:space="preserve"> Начало отсчета сроков, указанных в Разделе 2 и п.3.1 настоящей Программы, </w:t>
            </w:r>
            <w:r w:rsidR="001755DE" w:rsidRPr="00544FD8">
              <w:rPr>
                <w:rFonts w:ascii="Verdana" w:hAnsi="Verdana" w:cs="Verdana"/>
                <w:sz w:val="16"/>
                <w:szCs w:val="16"/>
              </w:rPr>
              <w:t>начинается на следующий день после календарной даты или наступления события, которыми определено его начало.</w:t>
            </w:r>
          </w:p>
        </w:tc>
      </w:tr>
    </w:tbl>
    <w:p w14:paraId="658446E3" w14:textId="15C03381" w:rsidR="00A67676" w:rsidRPr="00544FD8" w:rsidRDefault="00A67676" w:rsidP="00A67676">
      <w:pPr>
        <w:pStyle w:val="a3"/>
        <w:rPr>
          <w:rFonts w:ascii="Verdana" w:hAnsi="Verdana" w:cs="Times New Roman"/>
          <w:sz w:val="16"/>
          <w:szCs w:val="16"/>
        </w:rPr>
      </w:pPr>
    </w:p>
    <w:p w14:paraId="1EA053B9" w14:textId="76E085B0" w:rsidR="00957C7C" w:rsidRPr="00544FD8" w:rsidRDefault="00622BBF" w:rsidP="00E55FBD">
      <w:pPr>
        <w:pStyle w:val="a3"/>
        <w:numPr>
          <w:ilvl w:val="1"/>
          <w:numId w:val="1"/>
        </w:numPr>
        <w:ind w:left="0" w:firstLine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Для сумм </w:t>
      </w:r>
      <w:r w:rsidR="00A512EC" w:rsidRPr="00544FD8">
        <w:rPr>
          <w:rFonts w:ascii="Verdana" w:hAnsi="Verdana" w:cs="Times New Roman"/>
          <w:sz w:val="16"/>
          <w:szCs w:val="16"/>
        </w:rPr>
        <w:t xml:space="preserve">срочных </w:t>
      </w:r>
      <w:r w:rsidRPr="00544FD8">
        <w:rPr>
          <w:rFonts w:ascii="Verdana" w:hAnsi="Verdana" w:cs="Times New Roman"/>
          <w:sz w:val="16"/>
          <w:szCs w:val="16"/>
        </w:rPr>
        <w:t xml:space="preserve">вкладов от </w:t>
      </w:r>
      <w:r w:rsidR="00D30FDD" w:rsidRPr="00544FD8">
        <w:rPr>
          <w:rFonts w:ascii="Verdana" w:hAnsi="Verdana" w:cs="Times New Roman"/>
          <w:sz w:val="16"/>
          <w:szCs w:val="16"/>
        </w:rPr>
        <w:t>10 000 000 рублей РФ/ 1 200 000 китайских юаней</w:t>
      </w:r>
      <w:r w:rsidR="009546BF" w:rsidRPr="00544FD8">
        <w:rPr>
          <w:rFonts w:ascii="Verdana" w:hAnsi="Verdana" w:cs="Times New Roman"/>
          <w:sz w:val="16"/>
          <w:szCs w:val="16"/>
        </w:rPr>
        <w:t xml:space="preserve"> (включительно)</w:t>
      </w:r>
      <w:r w:rsidR="00A512EC" w:rsidRPr="00544FD8">
        <w:rPr>
          <w:rFonts w:ascii="Verdana" w:hAnsi="Verdana" w:cs="Times New Roman"/>
          <w:sz w:val="16"/>
          <w:szCs w:val="16"/>
        </w:rPr>
        <w:t xml:space="preserve"> возможно установление </w:t>
      </w:r>
      <w:r w:rsidR="00957C7C" w:rsidRPr="00544FD8">
        <w:rPr>
          <w:rFonts w:ascii="Verdana" w:hAnsi="Verdana" w:cs="Times New Roman"/>
          <w:sz w:val="16"/>
          <w:szCs w:val="16"/>
        </w:rPr>
        <w:t>Бонуса за крупность вклада (Бонус за крупность</w:t>
      </w:r>
      <w:r w:rsidR="00FA15F3" w:rsidRPr="00544FD8">
        <w:rPr>
          <w:rFonts w:ascii="Verdana" w:hAnsi="Verdana" w:cs="Times New Roman"/>
          <w:sz w:val="16"/>
          <w:szCs w:val="16"/>
        </w:rPr>
        <w:t xml:space="preserve"> </w:t>
      </w:r>
      <w:r w:rsidR="00957C7C" w:rsidRPr="00544FD8">
        <w:rPr>
          <w:rFonts w:ascii="Verdana" w:hAnsi="Verdana" w:cs="Times New Roman"/>
          <w:sz w:val="16"/>
          <w:szCs w:val="16"/>
        </w:rPr>
        <w:t>- дополнительная процентная ставка (в процентах годовых)</w:t>
      </w:r>
      <w:r w:rsidR="00433238" w:rsidRPr="00544FD8">
        <w:rPr>
          <w:rFonts w:ascii="Verdana" w:hAnsi="Verdana" w:cs="Times New Roman"/>
          <w:sz w:val="16"/>
          <w:szCs w:val="16"/>
        </w:rPr>
        <w:t>)</w:t>
      </w:r>
      <w:r w:rsidR="00194686" w:rsidRPr="00544FD8">
        <w:rPr>
          <w:rFonts w:ascii="Verdana" w:hAnsi="Verdana" w:cs="Times New Roman"/>
          <w:sz w:val="16"/>
          <w:szCs w:val="16"/>
        </w:rPr>
        <w:t>,</w:t>
      </w:r>
      <w:r w:rsidR="00770780" w:rsidRPr="00544FD8">
        <w:rPr>
          <w:rFonts w:ascii="Verdana" w:hAnsi="Verdana" w:cs="Times New Roman"/>
          <w:sz w:val="16"/>
          <w:szCs w:val="16"/>
        </w:rPr>
        <w:t xml:space="preserve"> </w:t>
      </w:r>
      <w:r w:rsidR="00A512EC" w:rsidRPr="00544FD8">
        <w:rPr>
          <w:rFonts w:ascii="Verdana" w:hAnsi="Verdana" w:cs="Times New Roman"/>
          <w:sz w:val="16"/>
          <w:szCs w:val="16"/>
        </w:rPr>
        <w:t xml:space="preserve">на </w:t>
      </w:r>
      <w:r w:rsidR="00770780" w:rsidRPr="00544FD8">
        <w:rPr>
          <w:rFonts w:ascii="Verdana" w:hAnsi="Verdana" w:cs="Times New Roman"/>
          <w:sz w:val="16"/>
          <w:szCs w:val="16"/>
        </w:rPr>
        <w:t>котор</w:t>
      </w:r>
      <w:r w:rsidR="00A512EC" w:rsidRPr="00544FD8">
        <w:rPr>
          <w:rFonts w:ascii="Verdana" w:hAnsi="Verdana" w:cs="Times New Roman"/>
          <w:sz w:val="16"/>
          <w:szCs w:val="16"/>
        </w:rPr>
        <w:t>ый</w:t>
      </w:r>
      <w:r w:rsidR="00770780" w:rsidRPr="00544FD8">
        <w:rPr>
          <w:rFonts w:ascii="Verdana" w:hAnsi="Verdana" w:cs="Times New Roman"/>
          <w:sz w:val="16"/>
          <w:szCs w:val="16"/>
        </w:rPr>
        <w:t xml:space="preserve"> </w:t>
      </w:r>
      <w:r w:rsidR="00957C7C" w:rsidRPr="00544FD8">
        <w:rPr>
          <w:rFonts w:ascii="Verdana" w:hAnsi="Verdana" w:cs="Times New Roman"/>
          <w:sz w:val="16"/>
          <w:szCs w:val="16"/>
        </w:rPr>
        <w:t xml:space="preserve">может </w:t>
      </w:r>
      <w:r w:rsidR="00D12FDD" w:rsidRPr="00544FD8">
        <w:rPr>
          <w:rFonts w:ascii="Verdana" w:hAnsi="Verdana" w:cs="Times New Roman"/>
          <w:sz w:val="16"/>
          <w:szCs w:val="16"/>
        </w:rPr>
        <w:t>увеличива</w:t>
      </w:r>
      <w:r w:rsidR="00770780" w:rsidRPr="00544FD8">
        <w:rPr>
          <w:rFonts w:ascii="Verdana" w:hAnsi="Verdana" w:cs="Times New Roman"/>
          <w:sz w:val="16"/>
          <w:szCs w:val="16"/>
        </w:rPr>
        <w:t>т</w:t>
      </w:r>
      <w:r w:rsidR="00957C7C" w:rsidRPr="00544FD8">
        <w:rPr>
          <w:rFonts w:ascii="Verdana" w:hAnsi="Verdana" w:cs="Times New Roman"/>
          <w:sz w:val="16"/>
          <w:szCs w:val="16"/>
        </w:rPr>
        <w:t>ь</w:t>
      </w:r>
      <w:r w:rsidR="00A512EC" w:rsidRPr="00544FD8">
        <w:rPr>
          <w:rFonts w:ascii="Verdana" w:hAnsi="Verdana" w:cs="Times New Roman"/>
          <w:sz w:val="16"/>
          <w:szCs w:val="16"/>
        </w:rPr>
        <w:t>ся</w:t>
      </w:r>
      <w:r w:rsidR="00770780" w:rsidRPr="00544FD8">
        <w:rPr>
          <w:rFonts w:ascii="Verdana" w:hAnsi="Verdana" w:cs="Times New Roman"/>
          <w:sz w:val="16"/>
          <w:szCs w:val="16"/>
        </w:rPr>
        <w:t xml:space="preserve"> процентн</w:t>
      </w:r>
      <w:r w:rsidR="00A512EC" w:rsidRPr="00544FD8">
        <w:rPr>
          <w:rFonts w:ascii="Verdana" w:hAnsi="Verdana" w:cs="Times New Roman"/>
          <w:sz w:val="16"/>
          <w:szCs w:val="16"/>
        </w:rPr>
        <w:t xml:space="preserve">ая ставка, указанная в Условиях по каждому виду </w:t>
      </w:r>
      <w:r w:rsidR="00EB0793" w:rsidRPr="00544FD8">
        <w:rPr>
          <w:rFonts w:ascii="Verdana" w:hAnsi="Verdana" w:cs="Times New Roman"/>
          <w:sz w:val="16"/>
          <w:szCs w:val="16"/>
        </w:rPr>
        <w:t xml:space="preserve">срочного </w:t>
      </w:r>
      <w:r w:rsidR="00AB36F9" w:rsidRPr="00544FD8">
        <w:rPr>
          <w:rFonts w:ascii="Verdana" w:hAnsi="Verdana" w:cs="Times New Roman"/>
          <w:sz w:val="16"/>
          <w:szCs w:val="16"/>
        </w:rPr>
        <w:t>вклада при</w:t>
      </w:r>
      <w:r w:rsidR="00D12FDD" w:rsidRPr="00544FD8">
        <w:rPr>
          <w:rFonts w:ascii="Verdana" w:hAnsi="Verdana" w:cs="Times New Roman"/>
          <w:sz w:val="16"/>
          <w:szCs w:val="16"/>
        </w:rPr>
        <w:t xml:space="preserve"> наличии соответствующего </w:t>
      </w:r>
      <w:r w:rsidR="00194686" w:rsidRPr="00544FD8">
        <w:rPr>
          <w:rFonts w:ascii="Verdana" w:hAnsi="Verdana" w:cs="Times New Roman"/>
          <w:sz w:val="16"/>
          <w:szCs w:val="16"/>
        </w:rPr>
        <w:t xml:space="preserve">действующего на дату обращения Вкладчика </w:t>
      </w:r>
      <w:r w:rsidR="00D12FDD" w:rsidRPr="00544FD8">
        <w:rPr>
          <w:rFonts w:ascii="Verdana" w:hAnsi="Verdana" w:cs="Times New Roman"/>
          <w:sz w:val="16"/>
          <w:szCs w:val="16"/>
        </w:rPr>
        <w:t xml:space="preserve">распорядительного документа Банка. Бонус за крупность распространяется только на </w:t>
      </w:r>
      <w:r w:rsidR="00EB0793" w:rsidRPr="00544FD8">
        <w:rPr>
          <w:rFonts w:ascii="Verdana" w:hAnsi="Verdana" w:cs="Times New Roman"/>
          <w:sz w:val="16"/>
          <w:szCs w:val="16"/>
        </w:rPr>
        <w:t xml:space="preserve">срочные </w:t>
      </w:r>
      <w:r w:rsidR="00D12FDD" w:rsidRPr="00544FD8">
        <w:rPr>
          <w:rFonts w:ascii="Verdana" w:hAnsi="Verdana" w:cs="Times New Roman"/>
          <w:sz w:val="16"/>
          <w:szCs w:val="16"/>
        </w:rPr>
        <w:t xml:space="preserve">вклады </w:t>
      </w:r>
      <w:r w:rsidR="00D12FDD" w:rsidRPr="00544FD8">
        <w:rPr>
          <w:rFonts w:ascii="Verdana" w:hAnsi="Verdana" w:cs="Times New Roman"/>
          <w:sz w:val="16"/>
          <w:szCs w:val="16"/>
        </w:rPr>
        <w:lastRenderedPageBreak/>
        <w:t>«</w:t>
      </w:r>
      <w:r w:rsidR="000A0A9E" w:rsidRPr="00544FD8">
        <w:rPr>
          <w:rFonts w:ascii="Verdana" w:hAnsi="Verdana" w:cs="Times New Roman"/>
          <w:sz w:val="16"/>
          <w:szCs w:val="16"/>
        </w:rPr>
        <w:t>НОВАЯ ВЫСОТА</w:t>
      </w:r>
      <w:r w:rsidR="00D12FDD" w:rsidRPr="00544FD8">
        <w:rPr>
          <w:rFonts w:ascii="Verdana" w:hAnsi="Verdana" w:cs="Times New Roman"/>
          <w:sz w:val="16"/>
          <w:szCs w:val="16"/>
        </w:rPr>
        <w:t>», «</w:t>
      </w:r>
      <w:r w:rsidR="000A0A9E" w:rsidRPr="00544FD8">
        <w:rPr>
          <w:rFonts w:ascii="Verdana" w:hAnsi="Verdana" w:cs="Times New Roman"/>
          <w:sz w:val="16"/>
          <w:szCs w:val="16"/>
        </w:rPr>
        <w:t>СВОБОДНЫЙ ПОЛЕТ</w:t>
      </w:r>
      <w:r w:rsidR="00D12FDD" w:rsidRPr="00544FD8">
        <w:rPr>
          <w:rFonts w:ascii="Verdana" w:hAnsi="Verdana" w:cs="Times New Roman"/>
          <w:sz w:val="16"/>
          <w:szCs w:val="16"/>
        </w:rPr>
        <w:t xml:space="preserve">». </w:t>
      </w:r>
      <w:r w:rsidR="006B76FF" w:rsidRPr="00544FD8">
        <w:rPr>
          <w:rFonts w:ascii="Verdana" w:hAnsi="Verdana" w:cs="Times New Roman"/>
          <w:sz w:val="16"/>
          <w:szCs w:val="16"/>
        </w:rPr>
        <w:t>Размер</w:t>
      </w:r>
      <w:r w:rsidR="00A512EC" w:rsidRPr="00544FD8">
        <w:rPr>
          <w:rFonts w:ascii="Verdana" w:hAnsi="Verdana" w:cs="Times New Roman"/>
          <w:sz w:val="16"/>
          <w:szCs w:val="16"/>
        </w:rPr>
        <w:t xml:space="preserve"> </w:t>
      </w:r>
      <w:r w:rsidR="00937F4A" w:rsidRPr="00544FD8">
        <w:rPr>
          <w:rFonts w:ascii="Verdana" w:hAnsi="Verdana" w:cs="Times New Roman"/>
          <w:sz w:val="16"/>
          <w:szCs w:val="16"/>
        </w:rPr>
        <w:t xml:space="preserve">Бонуса за крупность </w:t>
      </w:r>
      <w:r w:rsidR="006B76FF" w:rsidRPr="00544FD8">
        <w:rPr>
          <w:rFonts w:ascii="Verdana" w:hAnsi="Verdana" w:cs="Times New Roman"/>
          <w:sz w:val="16"/>
          <w:szCs w:val="16"/>
        </w:rPr>
        <w:t>устанавливается</w:t>
      </w:r>
      <w:r w:rsidR="003357EF" w:rsidRPr="00544FD8">
        <w:rPr>
          <w:rFonts w:ascii="Verdana" w:hAnsi="Verdana" w:cs="Times New Roman"/>
          <w:sz w:val="16"/>
          <w:szCs w:val="16"/>
        </w:rPr>
        <w:t xml:space="preserve"> </w:t>
      </w:r>
      <w:r w:rsidR="00A3617F" w:rsidRPr="00544FD8">
        <w:rPr>
          <w:rFonts w:ascii="Verdana" w:hAnsi="Verdana" w:cs="Times New Roman"/>
          <w:sz w:val="16"/>
          <w:szCs w:val="16"/>
        </w:rPr>
        <w:t xml:space="preserve">для каждого </w:t>
      </w:r>
      <w:r w:rsidR="00444CD5" w:rsidRPr="00544FD8">
        <w:rPr>
          <w:rFonts w:ascii="Verdana" w:hAnsi="Verdana" w:cs="Times New Roman"/>
          <w:sz w:val="16"/>
          <w:szCs w:val="16"/>
        </w:rPr>
        <w:t xml:space="preserve">вида </w:t>
      </w:r>
      <w:r w:rsidR="00FC4505" w:rsidRPr="00544FD8">
        <w:rPr>
          <w:rFonts w:ascii="Verdana" w:hAnsi="Verdana" w:cs="Times New Roman"/>
          <w:sz w:val="16"/>
          <w:szCs w:val="16"/>
        </w:rPr>
        <w:t>срочного вклада</w:t>
      </w:r>
      <w:r w:rsidR="00A512EC" w:rsidRPr="00544FD8">
        <w:rPr>
          <w:rFonts w:ascii="Verdana" w:hAnsi="Verdana" w:cs="Times New Roman"/>
          <w:sz w:val="16"/>
          <w:szCs w:val="16"/>
        </w:rPr>
        <w:t xml:space="preserve"> </w:t>
      </w:r>
      <w:r w:rsidR="00444CD5" w:rsidRPr="00544FD8">
        <w:rPr>
          <w:rFonts w:ascii="Verdana" w:hAnsi="Verdana" w:cs="Times New Roman"/>
          <w:sz w:val="16"/>
          <w:szCs w:val="16"/>
        </w:rPr>
        <w:t xml:space="preserve">отдельным </w:t>
      </w:r>
      <w:r w:rsidR="00A3617F" w:rsidRPr="00544FD8">
        <w:rPr>
          <w:rFonts w:ascii="Verdana" w:hAnsi="Verdana" w:cs="Times New Roman"/>
          <w:sz w:val="16"/>
          <w:szCs w:val="16"/>
        </w:rPr>
        <w:t>распорядительным документом Банка</w:t>
      </w:r>
      <w:r w:rsidR="00194686" w:rsidRPr="00544FD8">
        <w:rPr>
          <w:rFonts w:ascii="Verdana" w:hAnsi="Verdana" w:cs="Times New Roman"/>
          <w:sz w:val="16"/>
          <w:szCs w:val="16"/>
        </w:rPr>
        <w:t>.</w:t>
      </w:r>
      <w:r w:rsidR="009434A5" w:rsidRPr="00544FD8">
        <w:rPr>
          <w:rFonts w:ascii="Verdana" w:hAnsi="Verdana" w:cs="Times New Roman"/>
          <w:sz w:val="16"/>
          <w:szCs w:val="16"/>
        </w:rPr>
        <w:t xml:space="preserve"> Указанные в настоящем пункте Бонусы не суммируются с Бонусами, указанными в п.3.1. Программы</w:t>
      </w:r>
      <w:r w:rsidR="00F138A5" w:rsidRPr="00544FD8">
        <w:rPr>
          <w:rFonts w:ascii="Verdana" w:hAnsi="Verdana" w:cs="Times New Roman"/>
          <w:sz w:val="16"/>
          <w:szCs w:val="16"/>
        </w:rPr>
        <w:t>, и иными дополнительными процентными поощрениями, указанными в п.3.</w:t>
      </w:r>
      <w:r w:rsidR="0050776D" w:rsidRPr="00544FD8">
        <w:rPr>
          <w:rFonts w:ascii="Verdana" w:hAnsi="Verdana" w:cs="Times New Roman"/>
          <w:sz w:val="16"/>
          <w:szCs w:val="16"/>
        </w:rPr>
        <w:t>3</w:t>
      </w:r>
      <w:r w:rsidR="009434A5" w:rsidRPr="00544FD8">
        <w:rPr>
          <w:rFonts w:ascii="Verdana" w:hAnsi="Verdana" w:cs="Times New Roman"/>
          <w:sz w:val="16"/>
          <w:szCs w:val="16"/>
        </w:rPr>
        <w:t>.</w:t>
      </w:r>
    </w:p>
    <w:p w14:paraId="07B8B135" w14:textId="28BDCF5F" w:rsidR="00F138A5" w:rsidRPr="00544FD8" w:rsidRDefault="00F138A5" w:rsidP="00E55FBD">
      <w:pPr>
        <w:pStyle w:val="a3"/>
        <w:numPr>
          <w:ilvl w:val="1"/>
          <w:numId w:val="1"/>
        </w:numPr>
        <w:ind w:left="0" w:firstLine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В случае проведения Банком на основании распорядительных документов </w:t>
      </w:r>
      <w:proofErr w:type="spellStart"/>
      <w:r w:rsidRPr="00544FD8">
        <w:rPr>
          <w:rFonts w:ascii="Verdana" w:hAnsi="Verdana" w:cs="Times New Roman"/>
          <w:sz w:val="16"/>
          <w:szCs w:val="16"/>
        </w:rPr>
        <w:t>акционных</w:t>
      </w:r>
      <w:proofErr w:type="spellEnd"/>
      <w:r w:rsidRPr="00544FD8">
        <w:rPr>
          <w:rFonts w:ascii="Verdana" w:hAnsi="Verdana" w:cs="Times New Roman"/>
          <w:sz w:val="16"/>
          <w:szCs w:val="16"/>
        </w:rPr>
        <w:t xml:space="preserve"> мероприятий по срочным вкладам физических лиц, закрытым по сроку или досрочно, предлагаемые дополнительные процентные поощрения в рамках таких акций не суммируются с Бонусами, указанными в п.3.1. </w:t>
      </w:r>
      <w:r w:rsidR="0050776D" w:rsidRPr="00544FD8">
        <w:rPr>
          <w:rFonts w:ascii="Verdana" w:hAnsi="Verdana" w:cs="Times New Roman"/>
          <w:sz w:val="16"/>
          <w:szCs w:val="16"/>
        </w:rPr>
        <w:t xml:space="preserve">и </w:t>
      </w:r>
      <w:r w:rsidRPr="00544FD8">
        <w:rPr>
          <w:rFonts w:ascii="Verdana" w:hAnsi="Verdana" w:cs="Times New Roman"/>
          <w:sz w:val="16"/>
          <w:szCs w:val="16"/>
        </w:rPr>
        <w:t>3.2.</w:t>
      </w:r>
      <w:r w:rsidR="00D33E1A" w:rsidRPr="00544FD8">
        <w:rPr>
          <w:rFonts w:ascii="Verdana" w:hAnsi="Verdana" w:cs="Times New Roman"/>
          <w:sz w:val="16"/>
          <w:szCs w:val="16"/>
        </w:rPr>
        <w:t>, если иное не установлено условиями акции.</w:t>
      </w:r>
      <w:r w:rsidRPr="00544FD8">
        <w:rPr>
          <w:rFonts w:ascii="Verdana" w:hAnsi="Verdana" w:cs="Times New Roman"/>
          <w:sz w:val="16"/>
          <w:szCs w:val="16"/>
        </w:rPr>
        <w:t xml:space="preserve"> </w:t>
      </w:r>
    </w:p>
    <w:p w14:paraId="5372FF4A" w14:textId="77777777" w:rsidR="00A67676" w:rsidRPr="00544FD8" w:rsidRDefault="00A804D8" w:rsidP="00E55FBD">
      <w:pPr>
        <w:pStyle w:val="a3"/>
        <w:numPr>
          <w:ilvl w:val="0"/>
          <w:numId w:val="1"/>
        </w:numPr>
        <w:rPr>
          <w:rFonts w:ascii="Verdana" w:hAnsi="Verdana" w:cs="Times New Roman"/>
          <w:b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Порядок пр</w:t>
      </w:r>
      <w:r w:rsidR="00631009" w:rsidRPr="00544FD8">
        <w:rPr>
          <w:rFonts w:ascii="Verdana" w:hAnsi="Verdana" w:cs="Times New Roman"/>
          <w:b/>
          <w:sz w:val="16"/>
          <w:szCs w:val="16"/>
        </w:rPr>
        <w:t>едоставления</w:t>
      </w:r>
      <w:r w:rsidRPr="00544FD8">
        <w:rPr>
          <w:rFonts w:ascii="Verdana" w:hAnsi="Verdana" w:cs="Times New Roman"/>
          <w:b/>
          <w:sz w:val="16"/>
          <w:szCs w:val="16"/>
        </w:rPr>
        <w:t xml:space="preserve"> Бонусов </w:t>
      </w:r>
    </w:p>
    <w:p w14:paraId="7DB8AD32" w14:textId="51BB68D6" w:rsidR="00A804D8" w:rsidRPr="00544FD8" w:rsidRDefault="00A804D8" w:rsidP="00716EFD">
      <w:pPr>
        <w:pStyle w:val="a3"/>
        <w:ind w:left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Бонус </w:t>
      </w:r>
      <w:r w:rsidR="00BA3657" w:rsidRPr="00544FD8">
        <w:rPr>
          <w:rFonts w:ascii="Verdana" w:hAnsi="Verdana" w:cs="Times New Roman"/>
          <w:sz w:val="16"/>
          <w:szCs w:val="16"/>
        </w:rPr>
        <w:t>пр</w:t>
      </w:r>
      <w:r w:rsidR="00631009" w:rsidRPr="00544FD8">
        <w:rPr>
          <w:rFonts w:ascii="Verdana" w:hAnsi="Verdana" w:cs="Times New Roman"/>
          <w:sz w:val="16"/>
          <w:szCs w:val="16"/>
        </w:rPr>
        <w:t>едоставляется</w:t>
      </w:r>
      <w:r w:rsidR="00BA3657" w:rsidRPr="00544FD8">
        <w:rPr>
          <w:rFonts w:ascii="Verdana" w:hAnsi="Verdana" w:cs="Times New Roman"/>
          <w:sz w:val="16"/>
          <w:szCs w:val="16"/>
        </w:rPr>
        <w:t xml:space="preserve"> </w:t>
      </w:r>
      <w:r w:rsidR="007C462A" w:rsidRPr="00544FD8">
        <w:rPr>
          <w:rFonts w:ascii="Verdana" w:hAnsi="Verdana" w:cs="Times New Roman"/>
          <w:sz w:val="16"/>
          <w:szCs w:val="16"/>
        </w:rPr>
        <w:t>в случае удовлетворения Вкладчика</w:t>
      </w:r>
      <w:r w:rsidR="003725FE" w:rsidRPr="00544FD8">
        <w:rPr>
          <w:rFonts w:ascii="Verdana" w:hAnsi="Verdana" w:cs="Times New Roman"/>
          <w:sz w:val="16"/>
          <w:szCs w:val="16"/>
        </w:rPr>
        <w:t>/</w:t>
      </w:r>
      <w:r w:rsidR="00920400" w:rsidRPr="00544FD8">
        <w:rPr>
          <w:rFonts w:ascii="Verdana" w:hAnsi="Verdana" w:cs="Times New Roman"/>
          <w:sz w:val="16"/>
          <w:szCs w:val="16"/>
        </w:rPr>
        <w:t>срочного в</w:t>
      </w:r>
      <w:r w:rsidR="003725FE" w:rsidRPr="00544FD8">
        <w:rPr>
          <w:rFonts w:ascii="Verdana" w:hAnsi="Verdana" w:cs="Times New Roman"/>
          <w:sz w:val="16"/>
          <w:szCs w:val="16"/>
        </w:rPr>
        <w:t xml:space="preserve">клада, </w:t>
      </w:r>
      <w:r w:rsidR="00BA3657" w:rsidRPr="00544FD8">
        <w:rPr>
          <w:rFonts w:ascii="Verdana" w:hAnsi="Verdana" w:cs="Times New Roman"/>
          <w:sz w:val="16"/>
          <w:szCs w:val="16"/>
        </w:rPr>
        <w:t>открытого</w:t>
      </w:r>
      <w:r w:rsidR="003725FE" w:rsidRPr="00544FD8">
        <w:rPr>
          <w:rFonts w:ascii="Verdana" w:hAnsi="Verdana" w:cs="Times New Roman"/>
          <w:sz w:val="16"/>
          <w:szCs w:val="16"/>
        </w:rPr>
        <w:t xml:space="preserve"> Вкладчиком,</w:t>
      </w:r>
      <w:r w:rsidR="007C462A" w:rsidRPr="00544FD8">
        <w:rPr>
          <w:rFonts w:ascii="Verdana" w:hAnsi="Verdana" w:cs="Times New Roman"/>
          <w:sz w:val="16"/>
          <w:szCs w:val="16"/>
        </w:rPr>
        <w:t xml:space="preserve"> требованиям, изложенным в </w:t>
      </w:r>
      <w:r w:rsidR="006E47F5" w:rsidRPr="00544FD8">
        <w:rPr>
          <w:rFonts w:ascii="Verdana" w:hAnsi="Verdana" w:cs="Times New Roman"/>
          <w:sz w:val="16"/>
          <w:szCs w:val="16"/>
        </w:rPr>
        <w:t>Р</w:t>
      </w:r>
      <w:r w:rsidR="00BA3657" w:rsidRPr="00544FD8">
        <w:rPr>
          <w:rFonts w:ascii="Verdana" w:hAnsi="Verdana" w:cs="Times New Roman"/>
          <w:sz w:val="16"/>
          <w:szCs w:val="16"/>
        </w:rPr>
        <w:t xml:space="preserve">азделе </w:t>
      </w:r>
      <w:r w:rsidR="00E20AF9" w:rsidRPr="00544FD8">
        <w:rPr>
          <w:rFonts w:ascii="Verdana" w:hAnsi="Verdana" w:cs="Times New Roman"/>
          <w:sz w:val="16"/>
          <w:szCs w:val="16"/>
        </w:rPr>
        <w:t xml:space="preserve">2 и </w:t>
      </w:r>
      <w:r w:rsidR="002A0677" w:rsidRPr="00544FD8">
        <w:rPr>
          <w:rFonts w:ascii="Verdana" w:hAnsi="Verdana" w:cs="Times New Roman"/>
          <w:sz w:val="16"/>
          <w:szCs w:val="16"/>
        </w:rPr>
        <w:t>3</w:t>
      </w:r>
      <w:r w:rsidR="007C462A" w:rsidRPr="00544FD8">
        <w:rPr>
          <w:rFonts w:ascii="Verdana" w:hAnsi="Verdana" w:cs="Times New Roman"/>
          <w:sz w:val="16"/>
          <w:szCs w:val="16"/>
        </w:rPr>
        <w:t xml:space="preserve"> Программы.</w:t>
      </w:r>
    </w:p>
    <w:p w14:paraId="30D945E9" w14:textId="77777777" w:rsidR="00F6567C" w:rsidRPr="00544FD8" w:rsidRDefault="000E3755" w:rsidP="00716EFD">
      <w:pPr>
        <w:pStyle w:val="a3"/>
        <w:ind w:left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 xml:space="preserve">В договоре </w:t>
      </w:r>
      <w:r w:rsidR="00920400" w:rsidRPr="00544FD8">
        <w:rPr>
          <w:rFonts w:ascii="Verdana" w:hAnsi="Verdana" w:cs="Times New Roman"/>
          <w:sz w:val="16"/>
          <w:szCs w:val="16"/>
        </w:rPr>
        <w:t>Бонусного</w:t>
      </w:r>
      <w:r w:rsidRPr="00544FD8">
        <w:rPr>
          <w:rFonts w:ascii="Verdana" w:hAnsi="Verdana" w:cs="Times New Roman"/>
          <w:sz w:val="16"/>
          <w:szCs w:val="16"/>
        </w:rPr>
        <w:t xml:space="preserve"> вклада фиксируется </w:t>
      </w:r>
      <w:r w:rsidR="00EF787D" w:rsidRPr="00544FD8">
        <w:rPr>
          <w:rFonts w:ascii="Verdana" w:hAnsi="Verdana" w:cs="Times New Roman"/>
          <w:sz w:val="16"/>
          <w:szCs w:val="16"/>
        </w:rPr>
        <w:t>итогов</w:t>
      </w:r>
      <w:r w:rsidRPr="00544FD8">
        <w:rPr>
          <w:rFonts w:ascii="Verdana" w:hAnsi="Verdana" w:cs="Times New Roman"/>
          <w:sz w:val="16"/>
          <w:szCs w:val="16"/>
        </w:rPr>
        <w:t>ая</w:t>
      </w:r>
      <w:r w:rsidR="00EF787D" w:rsidRPr="00544FD8">
        <w:rPr>
          <w:rFonts w:ascii="Verdana" w:hAnsi="Verdana" w:cs="Times New Roman"/>
          <w:sz w:val="16"/>
          <w:szCs w:val="16"/>
        </w:rPr>
        <w:t xml:space="preserve"> </w:t>
      </w:r>
      <w:r w:rsidR="007C462A" w:rsidRPr="00544FD8">
        <w:rPr>
          <w:rFonts w:ascii="Verdana" w:hAnsi="Verdana" w:cs="Times New Roman"/>
          <w:sz w:val="16"/>
          <w:szCs w:val="16"/>
        </w:rPr>
        <w:t>процентн</w:t>
      </w:r>
      <w:r w:rsidRPr="00544FD8">
        <w:rPr>
          <w:rFonts w:ascii="Verdana" w:hAnsi="Verdana" w:cs="Times New Roman"/>
          <w:sz w:val="16"/>
          <w:szCs w:val="16"/>
        </w:rPr>
        <w:t>ая</w:t>
      </w:r>
      <w:r w:rsidR="007C462A" w:rsidRPr="00544FD8">
        <w:rPr>
          <w:rFonts w:ascii="Verdana" w:hAnsi="Verdana" w:cs="Times New Roman"/>
          <w:sz w:val="16"/>
          <w:szCs w:val="16"/>
        </w:rPr>
        <w:t xml:space="preserve"> ставк</w:t>
      </w:r>
      <w:r w:rsidRPr="00544FD8">
        <w:rPr>
          <w:rFonts w:ascii="Verdana" w:hAnsi="Verdana" w:cs="Times New Roman"/>
          <w:sz w:val="16"/>
          <w:szCs w:val="16"/>
        </w:rPr>
        <w:t>а</w:t>
      </w:r>
      <w:r w:rsidR="007C462A" w:rsidRPr="00544FD8">
        <w:rPr>
          <w:rFonts w:ascii="Verdana" w:hAnsi="Verdana" w:cs="Times New Roman"/>
          <w:sz w:val="16"/>
          <w:szCs w:val="16"/>
        </w:rPr>
        <w:t xml:space="preserve"> (в </w:t>
      </w:r>
      <w:r w:rsidR="0051725E" w:rsidRPr="00544FD8">
        <w:rPr>
          <w:rFonts w:ascii="Verdana" w:hAnsi="Verdana" w:cs="Times New Roman"/>
          <w:sz w:val="16"/>
          <w:szCs w:val="16"/>
        </w:rPr>
        <w:t xml:space="preserve">процентах </w:t>
      </w:r>
      <w:r w:rsidR="007C462A" w:rsidRPr="00544FD8">
        <w:rPr>
          <w:rFonts w:ascii="Verdana" w:hAnsi="Verdana" w:cs="Times New Roman"/>
          <w:sz w:val="16"/>
          <w:szCs w:val="16"/>
        </w:rPr>
        <w:t>годовых), состоящ</w:t>
      </w:r>
      <w:r w:rsidR="00B556DE" w:rsidRPr="00544FD8">
        <w:rPr>
          <w:rFonts w:ascii="Verdana" w:hAnsi="Verdana" w:cs="Times New Roman"/>
          <w:sz w:val="16"/>
          <w:szCs w:val="16"/>
        </w:rPr>
        <w:t>ая</w:t>
      </w:r>
      <w:r w:rsidR="007C462A" w:rsidRPr="00544FD8">
        <w:rPr>
          <w:rFonts w:ascii="Verdana" w:hAnsi="Verdana" w:cs="Times New Roman"/>
          <w:sz w:val="16"/>
          <w:szCs w:val="16"/>
        </w:rPr>
        <w:t xml:space="preserve"> из Бонуса и величины процентной ставки, установленной </w:t>
      </w:r>
      <w:r w:rsidR="00004943" w:rsidRPr="00544FD8">
        <w:rPr>
          <w:rFonts w:ascii="Verdana" w:hAnsi="Verdana" w:cs="Times New Roman"/>
          <w:sz w:val="16"/>
          <w:szCs w:val="16"/>
        </w:rPr>
        <w:t xml:space="preserve">Условиями </w:t>
      </w:r>
      <w:r w:rsidR="007C462A" w:rsidRPr="00544FD8">
        <w:rPr>
          <w:rFonts w:ascii="Verdana" w:hAnsi="Verdana" w:cs="Times New Roman"/>
          <w:sz w:val="16"/>
          <w:szCs w:val="16"/>
        </w:rPr>
        <w:t xml:space="preserve">для каждого вида </w:t>
      </w:r>
      <w:r w:rsidR="00EB0793" w:rsidRPr="00544FD8">
        <w:rPr>
          <w:rFonts w:ascii="Verdana" w:hAnsi="Verdana" w:cs="Times New Roman"/>
          <w:sz w:val="16"/>
          <w:szCs w:val="16"/>
        </w:rPr>
        <w:t xml:space="preserve">срочного </w:t>
      </w:r>
      <w:r w:rsidR="007C462A" w:rsidRPr="00544FD8">
        <w:rPr>
          <w:rFonts w:ascii="Verdana" w:hAnsi="Verdana" w:cs="Times New Roman"/>
          <w:sz w:val="16"/>
          <w:szCs w:val="16"/>
        </w:rPr>
        <w:t>вклада.</w:t>
      </w:r>
      <w:r w:rsidR="00D33E1A" w:rsidRPr="00544FD8">
        <w:rPr>
          <w:rFonts w:ascii="Verdana" w:hAnsi="Verdana" w:cs="Times New Roman"/>
          <w:sz w:val="16"/>
          <w:szCs w:val="16"/>
        </w:rPr>
        <w:t xml:space="preserve"> </w:t>
      </w:r>
    </w:p>
    <w:p w14:paraId="1A5BC11B" w14:textId="77777777" w:rsidR="00F6567C" w:rsidRPr="00544FD8" w:rsidRDefault="00F6567C" w:rsidP="00F6567C">
      <w:pPr>
        <w:pStyle w:val="a3"/>
        <w:ind w:left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>Применение Бонуса по таким срочным вкладам не изменяет порядок начисления процентов по условиям договора срочного вклада.</w:t>
      </w:r>
    </w:p>
    <w:p w14:paraId="12D896DA" w14:textId="4E4F343A" w:rsidR="00381B59" w:rsidRPr="00544FD8" w:rsidRDefault="00D33E1A" w:rsidP="00381B59">
      <w:pPr>
        <w:ind w:firstLine="561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>При отказе Вкладчика</w:t>
      </w:r>
      <w:r w:rsidR="00CD20CF" w:rsidRPr="00544FD8">
        <w:rPr>
          <w:rFonts w:ascii="Verdana" w:hAnsi="Verdana" w:cs="Times New Roman"/>
          <w:sz w:val="16"/>
          <w:szCs w:val="16"/>
        </w:rPr>
        <w:t xml:space="preserve"> от Полиса в П</w:t>
      </w:r>
      <w:r w:rsidRPr="00544FD8">
        <w:rPr>
          <w:rFonts w:ascii="Verdana" w:hAnsi="Verdana" w:cs="Times New Roman"/>
          <w:sz w:val="16"/>
          <w:szCs w:val="16"/>
        </w:rPr>
        <w:t xml:space="preserve">ериод охлаждения Банк устанавливает </w:t>
      </w:r>
      <w:r w:rsidR="004253FB" w:rsidRPr="00544FD8">
        <w:rPr>
          <w:rFonts w:ascii="Verdana" w:hAnsi="Verdana" w:cs="Times New Roman"/>
          <w:sz w:val="16"/>
          <w:szCs w:val="16"/>
        </w:rPr>
        <w:t xml:space="preserve">с даты открытия Вклада </w:t>
      </w:r>
      <w:r w:rsidRPr="00544FD8">
        <w:rPr>
          <w:rFonts w:ascii="Verdana" w:hAnsi="Verdana" w:cs="Times New Roman"/>
          <w:sz w:val="16"/>
          <w:szCs w:val="16"/>
        </w:rPr>
        <w:t xml:space="preserve">процентную ставку </w:t>
      </w:r>
      <w:r w:rsidR="004253FB" w:rsidRPr="00544FD8">
        <w:rPr>
          <w:rFonts w:ascii="Verdana" w:hAnsi="Verdana" w:cs="Times New Roman"/>
          <w:sz w:val="16"/>
          <w:szCs w:val="16"/>
        </w:rPr>
        <w:t xml:space="preserve">в </w:t>
      </w:r>
      <w:r w:rsidRPr="00544FD8">
        <w:rPr>
          <w:rFonts w:ascii="Verdana" w:hAnsi="Verdana" w:cs="Times New Roman"/>
          <w:sz w:val="16"/>
          <w:szCs w:val="16"/>
        </w:rPr>
        <w:t xml:space="preserve">размере, который соответствует размеру ставок, установленных в Условиях на дату заключения </w:t>
      </w:r>
      <w:r w:rsidR="00A92493" w:rsidRPr="00544FD8">
        <w:rPr>
          <w:rFonts w:ascii="Verdana" w:hAnsi="Verdana" w:cs="Times New Roman"/>
          <w:sz w:val="16"/>
          <w:szCs w:val="16"/>
        </w:rPr>
        <w:t>д</w:t>
      </w:r>
      <w:r w:rsidRPr="00544FD8">
        <w:rPr>
          <w:rFonts w:ascii="Verdana" w:hAnsi="Verdana" w:cs="Times New Roman"/>
          <w:sz w:val="16"/>
          <w:szCs w:val="16"/>
        </w:rPr>
        <w:t>оговора</w:t>
      </w:r>
      <w:r w:rsidR="00381B59" w:rsidRPr="00544FD8">
        <w:rPr>
          <w:rFonts w:ascii="Verdana" w:hAnsi="Verdana" w:cs="Times New Roman"/>
          <w:sz w:val="16"/>
          <w:szCs w:val="16"/>
        </w:rPr>
        <w:t xml:space="preserve">. Если до даты, когда Банку стало известно о том, что Вкладчик отказался от Полиса в Период охлаждения, Банк произвел выплату процентов по вкладам с периодической (ежемесячной, ежеквартальной, иной </w:t>
      </w:r>
      <w:r w:rsidR="00B9302D" w:rsidRPr="00544FD8">
        <w:rPr>
          <w:rFonts w:ascii="Verdana" w:hAnsi="Verdana" w:cs="Times New Roman"/>
          <w:sz w:val="16"/>
          <w:szCs w:val="16"/>
        </w:rPr>
        <w:t>установленной договором периодичностью</w:t>
      </w:r>
      <w:r w:rsidR="00381B59" w:rsidRPr="00544FD8">
        <w:rPr>
          <w:rFonts w:ascii="Verdana" w:hAnsi="Verdana" w:cs="Times New Roman"/>
          <w:sz w:val="16"/>
          <w:szCs w:val="16"/>
        </w:rPr>
        <w:t xml:space="preserve">) выплатой процентов, то Банк вправе удержать излишне выплаченные средства из суммы процентов, которые будут </w:t>
      </w:r>
      <w:r w:rsidR="00104BC6" w:rsidRPr="00544FD8">
        <w:rPr>
          <w:rFonts w:ascii="Verdana" w:hAnsi="Verdana" w:cs="Times New Roman"/>
          <w:sz w:val="16"/>
          <w:szCs w:val="16"/>
        </w:rPr>
        <w:t>выплачены</w:t>
      </w:r>
      <w:r w:rsidR="00381B59" w:rsidRPr="00544FD8">
        <w:rPr>
          <w:rFonts w:ascii="Verdana" w:hAnsi="Verdana" w:cs="Times New Roman"/>
          <w:sz w:val="16"/>
          <w:szCs w:val="16"/>
        </w:rPr>
        <w:t xml:space="preserve"> по вкладу после даты, когда Банк был уведомлен об отказе Вкладчика от Полиса, и/или из суммы Вклада при его возврате Вкладчику.</w:t>
      </w:r>
    </w:p>
    <w:p w14:paraId="5CE00FDE" w14:textId="73AFDD96" w:rsidR="0058719D" w:rsidRPr="00544FD8" w:rsidRDefault="0058719D" w:rsidP="00E55FBD">
      <w:pPr>
        <w:pStyle w:val="a3"/>
        <w:numPr>
          <w:ilvl w:val="0"/>
          <w:numId w:val="1"/>
        </w:numPr>
        <w:jc w:val="both"/>
        <w:rPr>
          <w:rFonts w:ascii="Verdana" w:hAnsi="Verdana" w:cs="Times New Roman"/>
          <w:b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Срок действия Программы</w:t>
      </w:r>
    </w:p>
    <w:p w14:paraId="1ACDA891" w14:textId="49AB203E" w:rsidR="00631009" w:rsidRPr="00544FD8" w:rsidRDefault="0058719D" w:rsidP="00631009">
      <w:pPr>
        <w:pStyle w:val="a3"/>
        <w:ind w:left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>Срок</w:t>
      </w:r>
      <w:r w:rsidR="00874361" w:rsidRPr="00544FD8">
        <w:rPr>
          <w:rFonts w:ascii="Verdana" w:hAnsi="Verdana" w:cs="Times New Roman"/>
          <w:sz w:val="16"/>
          <w:szCs w:val="16"/>
        </w:rPr>
        <w:t xml:space="preserve"> действия Программы устанавливае</w:t>
      </w:r>
      <w:r w:rsidRPr="00544FD8">
        <w:rPr>
          <w:rFonts w:ascii="Verdana" w:hAnsi="Verdana" w:cs="Times New Roman"/>
          <w:sz w:val="16"/>
          <w:szCs w:val="16"/>
        </w:rPr>
        <w:t>тся Банк</w:t>
      </w:r>
      <w:r w:rsidR="00666F03" w:rsidRPr="00544FD8">
        <w:rPr>
          <w:rFonts w:ascii="Verdana" w:hAnsi="Verdana" w:cs="Times New Roman"/>
          <w:sz w:val="16"/>
          <w:szCs w:val="16"/>
        </w:rPr>
        <w:t>ом</w:t>
      </w:r>
      <w:r w:rsidRPr="00544FD8">
        <w:rPr>
          <w:rFonts w:ascii="Verdana" w:hAnsi="Verdana" w:cs="Times New Roman"/>
          <w:sz w:val="16"/>
          <w:szCs w:val="16"/>
        </w:rPr>
        <w:t xml:space="preserve">. </w:t>
      </w:r>
      <w:r w:rsidR="00666F03" w:rsidRPr="00544FD8">
        <w:rPr>
          <w:rFonts w:ascii="Verdana" w:hAnsi="Verdana" w:cs="Times New Roman"/>
          <w:sz w:val="16"/>
          <w:szCs w:val="16"/>
        </w:rPr>
        <w:t xml:space="preserve">Информацию о сроках действия Программы Банк размещает в офисах и на сайте Банка в сети Интернет по адресу: </w:t>
      </w:r>
      <w:hyperlink r:id="rId9" w:history="1">
        <w:r w:rsidR="00E450FB" w:rsidRPr="00544FD8">
          <w:rPr>
            <w:rStyle w:val="a5"/>
            <w:rFonts w:ascii="Verdana" w:hAnsi="Verdana" w:cs="Times New Roman"/>
            <w:sz w:val="16"/>
            <w:szCs w:val="16"/>
          </w:rPr>
          <w:t>https://bbr.ru/</w:t>
        </w:r>
      </w:hyperlink>
      <w:r w:rsidR="00666F03" w:rsidRPr="00544FD8">
        <w:rPr>
          <w:rFonts w:ascii="Verdana" w:hAnsi="Verdana" w:cs="Times New Roman"/>
          <w:sz w:val="16"/>
          <w:szCs w:val="16"/>
        </w:rPr>
        <w:t xml:space="preserve">. </w:t>
      </w:r>
      <w:r w:rsidR="00DA3824" w:rsidRPr="00544FD8">
        <w:rPr>
          <w:rFonts w:ascii="Verdana" w:hAnsi="Verdana" w:cs="Times New Roman"/>
          <w:sz w:val="16"/>
          <w:szCs w:val="16"/>
        </w:rPr>
        <w:t>Банк вправе в одностороннем порядке прекратить действие Программы</w:t>
      </w:r>
      <w:r w:rsidR="002338CD" w:rsidRPr="00544FD8">
        <w:rPr>
          <w:rFonts w:ascii="Verdana" w:hAnsi="Verdana" w:cs="Times New Roman"/>
          <w:sz w:val="16"/>
          <w:szCs w:val="16"/>
        </w:rPr>
        <w:t xml:space="preserve">, </w:t>
      </w:r>
      <w:r w:rsidR="005834A6" w:rsidRPr="00544FD8">
        <w:rPr>
          <w:rFonts w:ascii="Verdana" w:hAnsi="Verdana" w:cs="Times New Roman"/>
          <w:sz w:val="16"/>
          <w:szCs w:val="16"/>
        </w:rPr>
        <w:t xml:space="preserve">изменить </w:t>
      </w:r>
      <w:r w:rsidR="002338CD" w:rsidRPr="00544FD8">
        <w:rPr>
          <w:rFonts w:ascii="Verdana" w:hAnsi="Verdana" w:cs="Times New Roman"/>
          <w:sz w:val="16"/>
          <w:szCs w:val="16"/>
        </w:rPr>
        <w:t>её условия</w:t>
      </w:r>
      <w:r w:rsidR="00DA3824" w:rsidRPr="00544FD8">
        <w:rPr>
          <w:rFonts w:ascii="Verdana" w:hAnsi="Verdana" w:cs="Times New Roman"/>
          <w:sz w:val="16"/>
          <w:szCs w:val="16"/>
        </w:rPr>
        <w:t xml:space="preserve"> </w:t>
      </w:r>
      <w:r w:rsidR="00FC0F34" w:rsidRPr="00544FD8">
        <w:rPr>
          <w:rFonts w:ascii="Verdana" w:hAnsi="Verdana" w:cs="Times New Roman"/>
          <w:sz w:val="16"/>
          <w:szCs w:val="16"/>
        </w:rPr>
        <w:t xml:space="preserve">или размеры Бонусов без </w:t>
      </w:r>
      <w:r w:rsidR="00DA3824" w:rsidRPr="00544FD8">
        <w:rPr>
          <w:rFonts w:ascii="Verdana" w:hAnsi="Verdana" w:cs="Times New Roman"/>
          <w:sz w:val="16"/>
          <w:szCs w:val="16"/>
        </w:rPr>
        <w:t xml:space="preserve">специального уведомления. </w:t>
      </w:r>
      <w:r w:rsidR="00631009" w:rsidRPr="00544FD8">
        <w:rPr>
          <w:rFonts w:ascii="Verdana" w:hAnsi="Verdana" w:cs="Times New Roman"/>
          <w:sz w:val="16"/>
          <w:szCs w:val="16"/>
        </w:rPr>
        <w:t>Вкладчики</w:t>
      </w:r>
      <w:r w:rsidR="000F547E" w:rsidRPr="00544FD8">
        <w:rPr>
          <w:rFonts w:ascii="Verdana" w:hAnsi="Verdana" w:cs="Times New Roman"/>
          <w:sz w:val="16"/>
          <w:szCs w:val="16"/>
        </w:rPr>
        <w:t xml:space="preserve"> самостоятельно проявляют заинтересованность в обновлении сведений о Программе и сроках её действия. </w:t>
      </w:r>
      <w:r w:rsidR="00631009" w:rsidRPr="00544FD8">
        <w:rPr>
          <w:rFonts w:ascii="Verdana" w:hAnsi="Verdana" w:cs="Times New Roman"/>
          <w:sz w:val="16"/>
          <w:szCs w:val="16"/>
        </w:rPr>
        <w:t>Прекращение действия Программы не влечет изменения процентных ставок по заключенным договорам.</w:t>
      </w:r>
    </w:p>
    <w:p w14:paraId="5EC89240" w14:textId="6798A6C6" w:rsidR="006B624D" w:rsidRPr="00544FD8" w:rsidRDefault="000F547E" w:rsidP="00E57FB5">
      <w:pPr>
        <w:pStyle w:val="a3"/>
        <w:ind w:left="0"/>
        <w:jc w:val="both"/>
        <w:rPr>
          <w:rFonts w:ascii="Verdana" w:hAnsi="Verdana" w:cs="Times New Roman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>П</w:t>
      </w:r>
      <w:r w:rsidR="0058719D" w:rsidRPr="00544FD8">
        <w:rPr>
          <w:rFonts w:ascii="Verdana" w:hAnsi="Verdana" w:cs="Times New Roman"/>
          <w:sz w:val="16"/>
          <w:szCs w:val="16"/>
        </w:rPr>
        <w:t>рограмм</w:t>
      </w:r>
      <w:r w:rsidRPr="00544FD8">
        <w:rPr>
          <w:rFonts w:ascii="Verdana" w:hAnsi="Verdana" w:cs="Times New Roman"/>
          <w:sz w:val="16"/>
          <w:szCs w:val="16"/>
        </w:rPr>
        <w:t>а</w:t>
      </w:r>
      <w:r w:rsidR="0058719D" w:rsidRPr="00544FD8">
        <w:rPr>
          <w:rFonts w:ascii="Verdana" w:hAnsi="Verdana" w:cs="Times New Roman"/>
          <w:sz w:val="16"/>
          <w:szCs w:val="16"/>
        </w:rPr>
        <w:t xml:space="preserve"> применяется для Участников Программы</w:t>
      </w:r>
      <w:r w:rsidR="00B76703" w:rsidRPr="00544FD8">
        <w:rPr>
          <w:rFonts w:ascii="Verdana" w:hAnsi="Verdana" w:cs="Times New Roman"/>
          <w:sz w:val="16"/>
          <w:szCs w:val="16"/>
        </w:rPr>
        <w:t xml:space="preserve"> в той редакции</w:t>
      </w:r>
      <w:r w:rsidR="0058719D" w:rsidRPr="00544FD8">
        <w:rPr>
          <w:rFonts w:ascii="Verdana" w:hAnsi="Verdana" w:cs="Times New Roman"/>
          <w:sz w:val="16"/>
          <w:szCs w:val="16"/>
        </w:rPr>
        <w:t xml:space="preserve">, </w:t>
      </w:r>
      <w:r w:rsidR="00B76703" w:rsidRPr="00544FD8">
        <w:rPr>
          <w:rFonts w:ascii="Verdana" w:hAnsi="Verdana" w:cs="Times New Roman"/>
          <w:sz w:val="16"/>
          <w:szCs w:val="16"/>
        </w:rPr>
        <w:t xml:space="preserve">в которой она действовала на момент </w:t>
      </w:r>
      <w:r w:rsidR="0058719D" w:rsidRPr="00544FD8">
        <w:rPr>
          <w:rFonts w:ascii="Verdana" w:hAnsi="Verdana" w:cs="Times New Roman"/>
          <w:sz w:val="16"/>
          <w:szCs w:val="16"/>
        </w:rPr>
        <w:t>заключ</w:t>
      </w:r>
      <w:r w:rsidR="00B76703" w:rsidRPr="00544FD8">
        <w:rPr>
          <w:rFonts w:ascii="Verdana" w:hAnsi="Verdana" w:cs="Times New Roman"/>
          <w:sz w:val="16"/>
          <w:szCs w:val="16"/>
        </w:rPr>
        <w:t>ения</w:t>
      </w:r>
      <w:r w:rsidR="003725FE" w:rsidRPr="00544FD8">
        <w:rPr>
          <w:rFonts w:ascii="Verdana" w:hAnsi="Verdana" w:cs="Times New Roman"/>
          <w:sz w:val="16"/>
          <w:szCs w:val="16"/>
        </w:rPr>
        <w:t>/</w:t>
      </w:r>
      <w:r w:rsidR="009434A5" w:rsidRPr="00544FD8">
        <w:rPr>
          <w:rFonts w:ascii="Verdana" w:hAnsi="Verdana" w:cs="Times New Roman"/>
          <w:sz w:val="16"/>
          <w:szCs w:val="16"/>
        </w:rPr>
        <w:t xml:space="preserve">переоформления/ автоматического </w:t>
      </w:r>
      <w:r w:rsidR="003725FE" w:rsidRPr="00544FD8">
        <w:rPr>
          <w:rFonts w:ascii="Verdana" w:hAnsi="Verdana" w:cs="Times New Roman"/>
          <w:sz w:val="16"/>
          <w:szCs w:val="16"/>
        </w:rPr>
        <w:t>продл</w:t>
      </w:r>
      <w:r w:rsidR="00B76703" w:rsidRPr="00544FD8">
        <w:rPr>
          <w:rFonts w:ascii="Verdana" w:hAnsi="Verdana" w:cs="Times New Roman"/>
          <w:sz w:val="16"/>
          <w:szCs w:val="16"/>
        </w:rPr>
        <w:t>ения</w:t>
      </w:r>
      <w:r w:rsidR="0058719D" w:rsidRPr="00544FD8">
        <w:rPr>
          <w:rFonts w:ascii="Verdana" w:hAnsi="Verdana" w:cs="Times New Roman"/>
          <w:sz w:val="16"/>
          <w:szCs w:val="16"/>
        </w:rPr>
        <w:t xml:space="preserve"> </w:t>
      </w:r>
      <w:r w:rsidR="00874361" w:rsidRPr="00544FD8">
        <w:rPr>
          <w:rFonts w:ascii="Verdana" w:hAnsi="Verdana" w:cs="Times New Roman"/>
          <w:sz w:val="16"/>
          <w:szCs w:val="16"/>
        </w:rPr>
        <w:t xml:space="preserve">ими </w:t>
      </w:r>
      <w:r w:rsidR="0058719D" w:rsidRPr="00544FD8">
        <w:rPr>
          <w:rFonts w:ascii="Verdana" w:hAnsi="Verdana" w:cs="Times New Roman"/>
          <w:sz w:val="16"/>
          <w:szCs w:val="16"/>
        </w:rPr>
        <w:t>договор</w:t>
      </w:r>
      <w:r w:rsidR="00B76703" w:rsidRPr="00544FD8">
        <w:rPr>
          <w:rFonts w:ascii="Verdana" w:hAnsi="Verdana" w:cs="Times New Roman"/>
          <w:sz w:val="16"/>
          <w:szCs w:val="16"/>
        </w:rPr>
        <w:t>ов</w:t>
      </w:r>
      <w:r w:rsidR="0058719D" w:rsidRPr="00544FD8">
        <w:rPr>
          <w:rFonts w:ascii="Verdana" w:hAnsi="Verdana" w:cs="Times New Roman"/>
          <w:sz w:val="16"/>
          <w:szCs w:val="16"/>
        </w:rPr>
        <w:t xml:space="preserve"> срочного вклада</w:t>
      </w:r>
      <w:r w:rsidR="00633FB3" w:rsidRPr="00544FD8">
        <w:rPr>
          <w:rFonts w:ascii="Verdana" w:hAnsi="Verdana" w:cs="Times New Roman"/>
          <w:sz w:val="16"/>
          <w:szCs w:val="16"/>
        </w:rPr>
        <w:t>.</w:t>
      </w:r>
    </w:p>
    <w:p w14:paraId="6642D916" w14:textId="77777777" w:rsidR="001D3191" w:rsidRPr="00544FD8" w:rsidRDefault="001D3191" w:rsidP="00E57FB5">
      <w:pPr>
        <w:pStyle w:val="a3"/>
        <w:ind w:left="0"/>
        <w:jc w:val="both"/>
        <w:rPr>
          <w:rFonts w:ascii="Verdana" w:hAnsi="Verdana" w:cs="Times New Roman"/>
          <w:b/>
          <w:sz w:val="16"/>
          <w:szCs w:val="16"/>
        </w:rPr>
      </w:pPr>
    </w:p>
    <w:p w14:paraId="4F9F7758" w14:textId="77777777" w:rsidR="008224AE" w:rsidRPr="00544FD8" w:rsidRDefault="008224AE" w:rsidP="002B3971">
      <w:pPr>
        <w:pStyle w:val="a3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 w:cs="Times New Roman"/>
          <w:b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Перечень Бонусных вкладов и р</w:t>
      </w:r>
      <w:r w:rsidR="00714604" w:rsidRPr="00544FD8">
        <w:rPr>
          <w:rFonts w:ascii="Verdana" w:hAnsi="Verdana" w:cs="Times New Roman"/>
          <w:b/>
          <w:sz w:val="16"/>
          <w:szCs w:val="16"/>
        </w:rPr>
        <w:t>азмеры Бонусов</w:t>
      </w:r>
      <w:r w:rsidRPr="00544FD8">
        <w:rPr>
          <w:rFonts w:ascii="Verdana" w:hAnsi="Verdana" w:cs="Times New Roman"/>
          <w:b/>
          <w:sz w:val="16"/>
          <w:szCs w:val="16"/>
        </w:rPr>
        <w:t xml:space="preserve"> </w:t>
      </w:r>
    </w:p>
    <w:p w14:paraId="33B2397F" w14:textId="38DC2CF8" w:rsidR="008224AE" w:rsidRPr="00544FD8" w:rsidRDefault="008224AE" w:rsidP="00E57FB5">
      <w:pPr>
        <w:spacing w:after="0" w:line="240" w:lineRule="auto"/>
        <w:contextualSpacing/>
        <w:rPr>
          <w:rFonts w:ascii="Verdana" w:hAnsi="Verdana"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>К Бонусным вкладам относятся срочные вклады «</w:t>
      </w:r>
      <w:r w:rsidR="000A0A9E" w:rsidRPr="00544FD8">
        <w:rPr>
          <w:rFonts w:ascii="Verdana" w:hAnsi="Verdana" w:cs="Times New Roman"/>
          <w:sz w:val="16"/>
          <w:szCs w:val="16"/>
        </w:rPr>
        <w:t>ЯРКАЯ ЗВЕЗДА</w:t>
      </w:r>
      <w:r w:rsidRPr="00544FD8">
        <w:rPr>
          <w:rFonts w:ascii="Verdana" w:hAnsi="Verdana" w:cs="Times New Roman"/>
          <w:sz w:val="16"/>
          <w:szCs w:val="16"/>
        </w:rPr>
        <w:t>», «</w:t>
      </w:r>
      <w:r w:rsidR="000A0A9E" w:rsidRPr="00544FD8">
        <w:rPr>
          <w:rFonts w:ascii="Verdana" w:hAnsi="Verdana" w:cs="Times New Roman"/>
          <w:sz w:val="16"/>
          <w:szCs w:val="16"/>
        </w:rPr>
        <w:t>АКТИВНЫЙ ВЗЛЕТ</w:t>
      </w:r>
      <w:r w:rsidRPr="00544FD8">
        <w:rPr>
          <w:rFonts w:ascii="Verdana" w:hAnsi="Verdana" w:cs="Times New Roman"/>
          <w:sz w:val="16"/>
          <w:szCs w:val="16"/>
        </w:rPr>
        <w:t>», «</w:t>
      </w:r>
      <w:r w:rsidR="000A0A9E" w:rsidRPr="00544FD8">
        <w:rPr>
          <w:rFonts w:ascii="Verdana" w:hAnsi="Verdana" w:cs="Times New Roman"/>
          <w:sz w:val="16"/>
          <w:szCs w:val="16"/>
        </w:rPr>
        <w:t>НАДЕЖНЫЙ СПУТНИК</w:t>
      </w:r>
      <w:r w:rsidRPr="00544FD8">
        <w:rPr>
          <w:rFonts w:ascii="Verdana" w:hAnsi="Verdana" w:cs="Times New Roman"/>
          <w:sz w:val="16"/>
          <w:szCs w:val="16"/>
        </w:rPr>
        <w:t>», «ИЗМЕНИ ОДНУ ЖИЗНЬ»</w:t>
      </w:r>
      <w:r w:rsidR="00235D69" w:rsidRPr="00544FD8">
        <w:rPr>
          <w:rFonts w:ascii="Verdana" w:hAnsi="Verdana"/>
          <w:sz w:val="16"/>
          <w:szCs w:val="16"/>
        </w:rPr>
        <w:t>, открытые в рублях РФ.</w:t>
      </w:r>
    </w:p>
    <w:p w14:paraId="441CAEFB" w14:textId="77777777" w:rsidR="001D3191" w:rsidRPr="00544FD8" w:rsidRDefault="001D3191" w:rsidP="00E57FB5">
      <w:pPr>
        <w:pStyle w:val="a3"/>
        <w:ind w:left="1080"/>
        <w:jc w:val="center"/>
        <w:rPr>
          <w:rFonts w:ascii="Verdana" w:hAnsi="Verdana" w:cs="Times New Roman"/>
          <w:b/>
          <w:sz w:val="16"/>
          <w:szCs w:val="16"/>
        </w:rPr>
      </w:pPr>
    </w:p>
    <w:p w14:paraId="57547E66" w14:textId="5AD5622C" w:rsidR="00161752" w:rsidRPr="00544FD8" w:rsidRDefault="008224AE" w:rsidP="00E57FB5">
      <w:pPr>
        <w:pStyle w:val="a3"/>
        <w:ind w:left="1080"/>
        <w:jc w:val="center"/>
        <w:rPr>
          <w:rFonts w:ascii="Verdana" w:hAnsi="Verdana" w:cs="Times New Roman"/>
          <w:b/>
          <w:sz w:val="16"/>
          <w:szCs w:val="16"/>
        </w:rPr>
      </w:pPr>
      <w:r w:rsidRPr="00544FD8">
        <w:rPr>
          <w:rFonts w:ascii="Verdana" w:hAnsi="Verdana" w:cs="Times New Roman"/>
          <w:b/>
          <w:sz w:val="16"/>
          <w:szCs w:val="16"/>
        </w:rPr>
        <w:t>Размеры Бонусов</w:t>
      </w:r>
    </w:p>
    <w:p w14:paraId="2EF61403" w14:textId="77777777" w:rsidR="001D3191" w:rsidRPr="00544FD8" w:rsidRDefault="001D3191" w:rsidP="00E57FB5">
      <w:pPr>
        <w:pStyle w:val="a3"/>
        <w:ind w:left="1080"/>
        <w:jc w:val="center"/>
        <w:rPr>
          <w:rFonts w:ascii="Verdana" w:hAnsi="Verdana" w:cs="Times New Roman"/>
          <w:b/>
          <w:sz w:val="16"/>
          <w:szCs w:val="16"/>
        </w:rPr>
      </w:pPr>
    </w:p>
    <w:tbl>
      <w:tblPr>
        <w:tblW w:w="12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400"/>
        <w:gridCol w:w="2693"/>
        <w:gridCol w:w="2225"/>
      </w:tblGrid>
      <w:tr w:rsidR="001D3191" w:rsidRPr="00544FD8" w14:paraId="023B5BF4" w14:textId="77777777" w:rsidTr="00E91601">
        <w:trPr>
          <w:trHeight w:val="311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32CD4A" w14:textId="77777777" w:rsidR="001D3191" w:rsidRPr="00544FD8" w:rsidRDefault="001D3191" w:rsidP="00E9160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ru-RU"/>
              </w:rPr>
              <w:t>Категория Вкладчика</w:t>
            </w:r>
          </w:p>
        </w:tc>
        <w:tc>
          <w:tcPr>
            <w:tcW w:w="4400" w:type="dxa"/>
            <w:shd w:val="clear" w:color="auto" w:fill="auto"/>
            <w:vAlign w:val="center"/>
            <w:hideMark/>
          </w:tcPr>
          <w:p w14:paraId="01FA74D1" w14:textId="77777777" w:rsidR="001D3191" w:rsidRPr="00544FD8" w:rsidRDefault="001D3191" w:rsidP="004F3E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ru-RU"/>
              </w:rPr>
              <w:t>Сумма и срок вклада</w:t>
            </w:r>
          </w:p>
        </w:tc>
        <w:tc>
          <w:tcPr>
            <w:tcW w:w="4918" w:type="dxa"/>
            <w:gridSpan w:val="2"/>
            <w:shd w:val="clear" w:color="auto" w:fill="auto"/>
            <w:noWrap/>
            <w:vAlign w:val="center"/>
            <w:hideMark/>
          </w:tcPr>
          <w:p w14:paraId="00601CBE" w14:textId="77777777" w:rsidR="001D3191" w:rsidRPr="00544FD8" w:rsidRDefault="001D3191" w:rsidP="004F3E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ru-RU"/>
              </w:rPr>
              <w:t>Бонус (в процентах годовых)</w:t>
            </w:r>
          </w:p>
        </w:tc>
      </w:tr>
      <w:tr w:rsidR="001D3191" w:rsidRPr="00544FD8" w14:paraId="50144751" w14:textId="77777777" w:rsidTr="00E91601">
        <w:trPr>
          <w:trHeight w:val="315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A434939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1. Вкладчик – Пенсионер</w:t>
            </w:r>
          </w:p>
        </w:tc>
        <w:tc>
          <w:tcPr>
            <w:tcW w:w="4400" w:type="dxa"/>
            <w:vMerge w:val="restart"/>
            <w:shd w:val="clear" w:color="auto" w:fill="auto"/>
            <w:noWrap/>
            <w:vAlign w:val="center"/>
            <w:hideMark/>
          </w:tcPr>
          <w:p w14:paraId="425CD207" w14:textId="77777777" w:rsidR="001D3191" w:rsidRPr="00544FD8" w:rsidRDefault="001D3191" w:rsidP="001D319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Без ограничений</w:t>
            </w:r>
          </w:p>
        </w:tc>
        <w:tc>
          <w:tcPr>
            <w:tcW w:w="4918" w:type="dxa"/>
            <w:gridSpan w:val="2"/>
            <w:shd w:val="clear" w:color="auto" w:fill="auto"/>
            <w:noWrap/>
            <w:vAlign w:val="center"/>
            <w:hideMark/>
          </w:tcPr>
          <w:p w14:paraId="7DF23626" w14:textId="77777777" w:rsidR="001D3191" w:rsidRPr="00544FD8" w:rsidRDefault="001D3191" w:rsidP="001D319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Рубли РФ - 0,10%</w:t>
            </w:r>
          </w:p>
        </w:tc>
      </w:tr>
      <w:tr w:rsidR="009C6523" w:rsidRPr="00544FD8" w14:paraId="60C527CE" w14:textId="77777777" w:rsidTr="00E91601">
        <w:trPr>
          <w:trHeight w:val="188"/>
          <w:jc w:val="center"/>
        </w:trPr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00BD7A" w14:textId="4E2860D7" w:rsidR="009C6523" w:rsidRPr="00544FD8" w:rsidRDefault="009C6523" w:rsidP="009C6523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2. Вкладчик – Онлайн</w:t>
            </w:r>
          </w:p>
        </w:tc>
        <w:tc>
          <w:tcPr>
            <w:tcW w:w="4400" w:type="dxa"/>
            <w:vMerge/>
            <w:vAlign w:val="center"/>
            <w:hideMark/>
          </w:tcPr>
          <w:p w14:paraId="7871BCFF" w14:textId="77777777" w:rsidR="009C6523" w:rsidRPr="00544FD8" w:rsidRDefault="009C6523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8" w:type="dxa"/>
            <w:gridSpan w:val="2"/>
            <w:shd w:val="clear" w:color="auto" w:fill="auto"/>
            <w:noWrap/>
            <w:vAlign w:val="center"/>
            <w:hideMark/>
          </w:tcPr>
          <w:p w14:paraId="3E6C6E02" w14:textId="776A656E" w:rsidR="009C6523" w:rsidRPr="00544FD8" w:rsidRDefault="009C6523" w:rsidP="009C6523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Рубли РФ - 0,20%</w:t>
            </w:r>
          </w:p>
        </w:tc>
      </w:tr>
      <w:tr w:rsidR="001D3191" w:rsidRPr="00544FD8" w14:paraId="6140097E" w14:textId="77777777" w:rsidTr="00E91601">
        <w:trPr>
          <w:trHeight w:val="315"/>
          <w:jc w:val="center"/>
        </w:trPr>
        <w:tc>
          <w:tcPr>
            <w:tcW w:w="3402" w:type="dxa"/>
            <w:vMerge w:val="restart"/>
            <w:shd w:val="clear" w:color="auto" w:fill="auto"/>
            <w:noWrap/>
            <w:vAlign w:val="center"/>
            <w:hideMark/>
          </w:tcPr>
          <w:p w14:paraId="5C4B1748" w14:textId="47C21449" w:rsidR="001D3191" w:rsidRPr="00544FD8" w:rsidRDefault="009C6523" w:rsidP="00E9160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3</w:t>
            </w:r>
            <w:r w:rsidR="001D3191"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.</w:t>
            </w:r>
            <w:r w:rsidR="004F3E71"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3191"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Лояльный Вкладчик</w:t>
            </w:r>
          </w:p>
        </w:tc>
        <w:tc>
          <w:tcPr>
            <w:tcW w:w="4400" w:type="dxa"/>
            <w:vMerge/>
            <w:vAlign w:val="center"/>
            <w:hideMark/>
          </w:tcPr>
          <w:p w14:paraId="47C91972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918" w:type="dxa"/>
            <w:gridSpan w:val="2"/>
            <w:shd w:val="clear" w:color="000000" w:fill="F2F2F2"/>
            <w:vAlign w:val="center"/>
            <w:hideMark/>
          </w:tcPr>
          <w:p w14:paraId="08E200A9" w14:textId="77777777" w:rsidR="001D3191" w:rsidRPr="00544FD8" w:rsidRDefault="001D3191" w:rsidP="001D319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При наличии Полиса (в зависимости от стоимости Полиса):</w:t>
            </w:r>
          </w:p>
        </w:tc>
      </w:tr>
      <w:tr w:rsidR="001D3191" w:rsidRPr="00544FD8" w14:paraId="1B3B3B2F" w14:textId="77777777" w:rsidTr="00E91601">
        <w:trPr>
          <w:trHeight w:val="315"/>
          <w:jc w:val="center"/>
        </w:trPr>
        <w:tc>
          <w:tcPr>
            <w:tcW w:w="3402" w:type="dxa"/>
            <w:vMerge/>
            <w:vAlign w:val="center"/>
            <w:hideMark/>
          </w:tcPr>
          <w:p w14:paraId="70B90628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052E0F24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shd w:val="clear" w:color="000000" w:fill="F2F2F2"/>
            <w:vAlign w:val="center"/>
            <w:hideMark/>
          </w:tcPr>
          <w:p w14:paraId="53078D0D" w14:textId="77777777" w:rsidR="001D3191" w:rsidRPr="00544FD8" w:rsidRDefault="001D3191" w:rsidP="001D319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Стоимость Полиса</w:t>
            </w:r>
          </w:p>
        </w:tc>
        <w:tc>
          <w:tcPr>
            <w:tcW w:w="2225" w:type="dxa"/>
            <w:shd w:val="clear" w:color="000000" w:fill="F2F2F2"/>
            <w:vAlign w:val="center"/>
            <w:hideMark/>
          </w:tcPr>
          <w:p w14:paraId="63BB15AB" w14:textId="77777777" w:rsidR="001D3191" w:rsidRPr="00544FD8" w:rsidRDefault="001D3191" w:rsidP="001D319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Бонус в рублях РФ</w:t>
            </w:r>
          </w:p>
        </w:tc>
      </w:tr>
      <w:tr w:rsidR="001D3191" w:rsidRPr="00544FD8" w14:paraId="5FDEB442" w14:textId="77777777" w:rsidTr="00E91601">
        <w:trPr>
          <w:trHeight w:val="315"/>
          <w:jc w:val="center"/>
        </w:trPr>
        <w:tc>
          <w:tcPr>
            <w:tcW w:w="3402" w:type="dxa"/>
            <w:vMerge/>
            <w:vAlign w:val="center"/>
            <w:hideMark/>
          </w:tcPr>
          <w:p w14:paraId="4A5A296E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7FF43301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655A998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До 4 999 руб.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14:paraId="2F580C5A" w14:textId="77777777" w:rsidR="001D3191" w:rsidRPr="00544FD8" w:rsidRDefault="001D3191" w:rsidP="001D319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0,25%</w:t>
            </w:r>
          </w:p>
        </w:tc>
      </w:tr>
      <w:tr w:rsidR="001D3191" w:rsidRPr="00544FD8" w14:paraId="4CF1DCAF" w14:textId="77777777" w:rsidTr="00E91601">
        <w:trPr>
          <w:trHeight w:val="315"/>
          <w:jc w:val="center"/>
        </w:trPr>
        <w:tc>
          <w:tcPr>
            <w:tcW w:w="3402" w:type="dxa"/>
            <w:vMerge/>
            <w:vAlign w:val="center"/>
            <w:hideMark/>
          </w:tcPr>
          <w:p w14:paraId="7DB62077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4F0862ED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FC7F4F1" w14:textId="09A99106" w:rsidR="001D3191" w:rsidRPr="00544FD8" w:rsidRDefault="001D3191" w:rsidP="004F3E7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5 000 - 49 999 руб.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14:paraId="050C8909" w14:textId="77777777" w:rsidR="001D3191" w:rsidRPr="00544FD8" w:rsidRDefault="001D3191" w:rsidP="001D319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0,50%</w:t>
            </w:r>
          </w:p>
        </w:tc>
      </w:tr>
      <w:tr w:rsidR="001D3191" w:rsidRPr="00544FD8" w14:paraId="76ADF935" w14:textId="77777777" w:rsidTr="00E91601">
        <w:trPr>
          <w:trHeight w:val="315"/>
          <w:jc w:val="center"/>
        </w:trPr>
        <w:tc>
          <w:tcPr>
            <w:tcW w:w="3402" w:type="dxa"/>
            <w:vMerge/>
            <w:vAlign w:val="center"/>
            <w:hideMark/>
          </w:tcPr>
          <w:p w14:paraId="75AC0B2D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00" w:type="dxa"/>
            <w:vMerge/>
            <w:vAlign w:val="center"/>
            <w:hideMark/>
          </w:tcPr>
          <w:p w14:paraId="6435A2E0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8B64A02" w14:textId="77777777" w:rsidR="001D3191" w:rsidRPr="00544FD8" w:rsidRDefault="001D3191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50 000 руб. и более</w:t>
            </w:r>
          </w:p>
        </w:tc>
        <w:tc>
          <w:tcPr>
            <w:tcW w:w="2225" w:type="dxa"/>
            <w:shd w:val="clear" w:color="auto" w:fill="auto"/>
            <w:vAlign w:val="center"/>
            <w:hideMark/>
          </w:tcPr>
          <w:p w14:paraId="04421861" w14:textId="77777777" w:rsidR="001D3191" w:rsidRPr="00544FD8" w:rsidRDefault="001D3191" w:rsidP="001D319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1,00%</w:t>
            </w:r>
          </w:p>
        </w:tc>
      </w:tr>
      <w:tr w:rsidR="009C6523" w:rsidRPr="00544FD8" w14:paraId="73AE85B4" w14:textId="77777777" w:rsidTr="00E91601">
        <w:trPr>
          <w:trHeight w:val="315"/>
          <w:jc w:val="center"/>
        </w:trPr>
        <w:tc>
          <w:tcPr>
            <w:tcW w:w="3402" w:type="dxa"/>
            <w:vAlign w:val="center"/>
          </w:tcPr>
          <w:p w14:paraId="37DE97B8" w14:textId="696B4CF5" w:rsidR="009C6523" w:rsidRPr="00544FD8" w:rsidRDefault="009C6523" w:rsidP="001D319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lastRenderedPageBreak/>
              <w:t>4. Вкладчик – Премиум</w:t>
            </w:r>
          </w:p>
        </w:tc>
        <w:tc>
          <w:tcPr>
            <w:tcW w:w="4400" w:type="dxa"/>
            <w:vAlign w:val="center"/>
          </w:tcPr>
          <w:p w14:paraId="5B8A53F3" w14:textId="11D6CB07" w:rsidR="009C6523" w:rsidRPr="00544FD8" w:rsidRDefault="009C6523" w:rsidP="00E9160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Сумма вклада – от 3 000 000 рублей РФ</w:t>
            </w:r>
          </w:p>
          <w:p w14:paraId="716F3459" w14:textId="43FFBB4E" w:rsidR="009C6523" w:rsidRPr="00544FD8" w:rsidRDefault="009C6523" w:rsidP="00E9160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Срок вклада – Без ограничений</w:t>
            </w:r>
          </w:p>
        </w:tc>
        <w:tc>
          <w:tcPr>
            <w:tcW w:w="4918" w:type="dxa"/>
            <w:gridSpan w:val="2"/>
            <w:shd w:val="clear" w:color="auto" w:fill="auto"/>
            <w:vAlign w:val="center"/>
          </w:tcPr>
          <w:p w14:paraId="51BA507C" w14:textId="1C341A06" w:rsidR="009C6523" w:rsidRPr="00544FD8" w:rsidRDefault="009C6523" w:rsidP="001D319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</w:pPr>
            <w:r w:rsidRPr="00544FD8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ru-RU"/>
              </w:rPr>
              <w:t>Рубли РФ - 0,30%</w:t>
            </w:r>
          </w:p>
        </w:tc>
      </w:tr>
    </w:tbl>
    <w:p w14:paraId="47015D1D" w14:textId="77777777" w:rsidR="00E55FBD" w:rsidRPr="00544FD8" w:rsidRDefault="00E55FBD" w:rsidP="00E57FB5">
      <w:pPr>
        <w:rPr>
          <w:rFonts w:ascii="Verdana" w:hAnsi="Verdana" w:cs="Times New Roman"/>
          <w:sz w:val="16"/>
          <w:szCs w:val="16"/>
        </w:rPr>
      </w:pPr>
    </w:p>
    <w:p w14:paraId="0B906044" w14:textId="787C015D" w:rsidR="004F743D" w:rsidRPr="00FB4BED" w:rsidRDefault="009C7A90" w:rsidP="00E57FB5">
      <w:pPr>
        <w:rPr>
          <w:rFonts w:ascii="Verdana" w:hAnsi="Verdana" w:cs="Times New Roman"/>
          <w:b/>
          <w:sz w:val="16"/>
          <w:szCs w:val="16"/>
        </w:rPr>
      </w:pPr>
      <w:r w:rsidRPr="00544FD8">
        <w:rPr>
          <w:rFonts w:ascii="Verdana" w:hAnsi="Verdana" w:cs="Times New Roman"/>
          <w:sz w:val="16"/>
          <w:szCs w:val="16"/>
        </w:rPr>
        <w:t>Размер итоговых процентных ставок с учетом Бонуса и минимальных гарантированных ставок</w:t>
      </w:r>
      <w:r w:rsidR="00BA41CF" w:rsidRPr="00544FD8">
        <w:rPr>
          <w:rFonts w:ascii="Verdana" w:hAnsi="Verdana" w:cs="Times New Roman"/>
          <w:sz w:val="16"/>
          <w:szCs w:val="16"/>
        </w:rPr>
        <w:t xml:space="preserve"> (МГС)</w:t>
      </w:r>
      <w:r w:rsidRPr="00544FD8">
        <w:rPr>
          <w:rFonts w:ascii="Verdana" w:hAnsi="Verdana" w:cs="Times New Roman"/>
          <w:sz w:val="16"/>
          <w:szCs w:val="16"/>
        </w:rPr>
        <w:t xml:space="preserve"> для каждого вида Бонусного вклада </w:t>
      </w:r>
      <w:r w:rsidR="00BA41CF" w:rsidRPr="00544FD8">
        <w:rPr>
          <w:rFonts w:ascii="Verdana" w:hAnsi="Verdana" w:cs="Times New Roman"/>
          <w:sz w:val="16"/>
          <w:szCs w:val="16"/>
        </w:rPr>
        <w:t>фиксируется при заключении</w:t>
      </w:r>
      <w:r w:rsidRPr="00544FD8">
        <w:rPr>
          <w:rFonts w:ascii="Verdana" w:hAnsi="Verdana" w:cs="Times New Roman"/>
          <w:sz w:val="16"/>
          <w:szCs w:val="16"/>
        </w:rPr>
        <w:t xml:space="preserve"> </w:t>
      </w:r>
      <w:r w:rsidR="00BA41CF" w:rsidRPr="00544FD8">
        <w:rPr>
          <w:rFonts w:ascii="Verdana" w:hAnsi="Verdana" w:cs="Times New Roman"/>
          <w:sz w:val="16"/>
          <w:szCs w:val="16"/>
        </w:rPr>
        <w:t xml:space="preserve">договора банковского вклада </w:t>
      </w:r>
      <w:r w:rsidR="00AA4B71" w:rsidRPr="00544FD8">
        <w:rPr>
          <w:rFonts w:ascii="Verdana" w:hAnsi="Verdana" w:cs="Times New Roman"/>
          <w:sz w:val="16"/>
          <w:szCs w:val="16"/>
        </w:rPr>
        <w:t xml:space="preserve">в </w:t>
      </w:r>
      <w:r w:rsidR="00BA41CF" w:rsidRPr="00544FD8">
        <w:rPr>
          <w:rFonts w:ascii="Verdana" w:hAnsi="Verdana" w:cs="Times New Roman"/>
          <w:sz w:val="16"/>
          <w:szCs w:val="16"/>
        </w:rPr>
        <w:t>Заявлении на размещение банковского вклада</w:t>
      </w:r>
      <w:r w:rsidR="00AA4B71" w:rsidRPr="00544FD8">
        <w:rPr>
          <w:rFonts w:ascii="Verdana" w:hAnsi="Verdana" w:cs="Times New Roman"/>
          <w:sz w:val="16"/>
          <w:szCs w:val="16"/>
        </w:rPr>
        <w:t xml:space="preserve"> и в </w:t>
      </w:r>
      <w:r w:rsidRPr="00544FD8">
        <w:rPr>
          <w:rFonts w:ascii="Verdana" w:hAnsi="Verdana" w:cs="Times New Roman"/>
          <w:sz w:val="16"/>
          <w:szCs w:val="16"/>
        </w:rPr>
        <w:t>виде отдельного документа «Информация о минимальной гарантированной ставке по вкладам, открытым в ББР Банке (АО</w:t>
      </w:r>
      <w:r w:rsidRPr="00FB4BED">
        <w:rPr>
          <w:rFonts w:ascii="Verdana" w:hAnsi="Verdana" w:cs="Times New Roman"/>
          <w:sz w:val="16"/>
          <w:szCs w:val="16"/>
        </w:rPr>
        <w:t>)»</w:t>
      </w:r>
      <w:r w:rsidR="00BA41CF">
        <w:rPr>
          <w:rFonts w:ascii="Verdana" w:hAnsi="Verdana" w:cs="Times New Roman"/>
          <w:sz w:val="16"/>
          <w:szCs w:val="16"/>
        </w:rPr>
        <w:t>)</w:t>
      </w:r>
      <w:r w:rsidRPr="00FB4BED">
        <w:rPr>
          <w:rFonts w:ascii="Verdana" w:hAnsi="Verdana" w:cs="Times New Roman"/>
          <w:sz w:val="16"/>
          <w:szCs w:val="16"/>
        </w:rPr>
        <w:t>.</w:t>
      </w:r>
      <w:r w:rsidR="003B3009" w:rsidRPr="00FB4BED">
        <w:rPr>
          <w:rFonts w:ascii="Verdana" w:hAnsi="Verdana" w:cs="Times New Roman"/>
          <w:sz w:val="16"/>
          <w:szCs w:val="16"/>
        </w:rPr>
        <w:t xml:space="preserve"> </w:t>
      </w:r>
      <w:r w:rsidR="00647BE5">
        <w:rPr>
          <w:rFonts w:ascii="Verdana" w:hAnsi="Verdana" w:cs="Times New Roman"/>
          <w:sz w:val="16"/>
          <w:szCs w:val="16"/>
        </w:rPr>
        <w:t>З</w:t>
      </w:r>
      <w:r w:rsidR="00BA41CF">
        <w:rPr>
          <w:rFonts w:ascii="Verdana" w:hAnsi="Verdana" w:cs="Times New Roman"/>
          <w:sz w:val="16"/>
          <w:szCs w:val="16"/>
        </w:rPr>
        <w:t>начения МГС</w:t>
      </w:r>
      <w:r w:rsidRPr="00FB4BED">
        <w:rPr>
          <w:rFonts w:ascii="Verdana" w:hAnsi="Verdana" w:cs="Times New Roman"/>
          <w:sz w:val="16"/>
          <w:szCs w:val="16"/>
        </w:rPr>
        <w:t xml:space="preserve"> размеща</w:t>
      </w:r>
      <w:r w:rsidR="00AA4B71">
        <w:rPr>
          <w:rFonts w:ascii="Verdana" w:hAnsi="Verdana" w:cs="Times New Roman"/>
          <w:sz w:val="16"/>
          <w:szCs w:val="16"/>
        </w:rPr>
        <w:t>ю</w:t>
      </w:r>
      <w:r w:rsidRPr="00FB4BED">
        <w:rPr>
          <w:rFonts w:ascii="Verdana" w:hAnsi="Verdana" w:cs="Times New Roman"/>
          <w:sz w:val="16"/>
          <w:szCs w:val="16"/>
        </w:rPr>
        <w:t xml:space="preserve">тся в свободном доступе в офисах Банка и на сайте Банка в сети Интернет по адресу: </w:t>
      </w:r>
      <w:hyperlink r:id="rId10" w:history="1">
        <w:r w:rsidR="00E450FB" w:rsidRPr="00025DEE">
          <w:rPr>
            <w:rStyle w:val="a5"/>
            <w:rFonts w:ascii="Verdana" w:hAnsi="Verdana" w:cs="Times New Roman"/>
            <w:sz w:val="16"/>
            <w:szCs w:val="16"/>
          </w:rPr>
          <w:t>https://bbr.ru/</w:t>
        </w:r>
      </w:hyperlink>
      <w:r w:rsidRPr="00FB4BED">
        <w:rPr>
          <w:rFonts w:ascii="Verdana" w:hAnsi="Verdana"/>
          <w:sz w:val="16"/>
          <w:szCs w:val="16"/>
        </w:rPr>
        <w:t>.</w:t>
      </w:r>
    </w:p>
    <w:sectPr w:rsidR="004F743D" w:rsidRPr="00FB4BED" w:rsidSect="009532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3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D21F3" w14:textId="77777777" w:rsidR="00674B0C" w:rsidRDefault="00674B0C" w:rsidP="00234C19">
      <w:pPr>
        <w:spacing w:after="0" w:line="240" w:lineRule="auto"/>
      </w:pPr>
      <w:r>
        <w:separator/>
      </w:r>
    </w:p>
  </w:endnote>
  <w:endnote w:type="continuationSeparator" w:id="0">
    <w:p w14:paraId="6CE4967E" w14:textId="77777777" w:rsidR="00674B0C" w:rsidRDefault="00674B0C" w:rsidP="0023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95F51" w14:textId="77777777" w:rsidR="00462444" w:rsidRDefault="0046244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4BD77" w14:textId="77777777" w:rsidR="00462444" w:rsidRDefault="0046244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C9267" w14:textId="77777777" w:rsidR="00462444" w:rsidRDefault="004624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62DE0" w14:textId="77777777" w:rsidR="00674B0C" w:rsidRDefault="00674B0C" w:rsidP="00234C19">
      <w:pPr>
        <w:spacing w:after="0" w:line="240" w:lineRule="auto"/>
      </w:pPr>
      <w:r>
        <w:separator/>
      </w:r>
    </w:p>
  </w:footnote>
  <w:footnote w:type="continuationSeparator" w:id="0">
    <w:p w14:paraId="76279DD4" w14:textId="77777777" w:rsidR="00674B0C" w:rsidRDefault="00674B0C" w:rsidP="0023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F498C" w14:textId="77777777" w:rsidR="00462444" w:rsidRDefault="004624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FC89C" w14:textId="71ABC4E3" w:rsidR="008224AE" w:rsidRPr="002601BC" w:rsidRDefault="00E55FBD" w:rsidP="00E55FBD">
    <w:pPr>
      <w:spacing w:after="0" w:line="360" w:lineRule="auto"/>
      <w:ind w:left="9497"/>
      <w:rPr>
        <w:rFonts w:ascii="Verdana" w:hAnsi="Verdana"/>
        <w:sz w:val="14"/>
        <w:szCs w:val="14"/>
      </w:rPr>
    </w:pPr>
    <w:r w:rsidRPr="002601BC">
      <w:rPr>
        <w:rFonts w:ascii="Verdana" w:hAnsi="Verdana" w:cs="Times New Roman"/>
        <w:noProof/>
        <w:sz w:val="14"/>
        <w:szCs w:val="14"/>
        <w:lang w:eastAsia="ru-RU"/>
      </w:rPr>
      <w:drawing>
        <wp:anchor distT="0" distB="0" distL="114300" distR="114300" simplePos="0" relativeHeight="251659264" behindDoc="1" locked="0" layoutInCell="1" allowOverlap="1" wp14:anchorId="08CA9ED2" wp14:editId="5905559F">
          <wp:simplePos x="0" y="0"/>
          <wp:positionH relativeFrom="column">
            <wp:posOffset>81280</wp:posOffset>
          </wp:positionH>
          <wp:positionV relativeFrom="paragraph">
            <wp:posOffset>-42926</wp:posOffset>
          </wp:positionV>
          <wp:extent cx="1375637" cy="534889"/>
          <wp:effectExtent l="0" t="0" r="0" b="0"/>
          <wp:wrapNone/>
          <wp:docPr id="4" name="Рисунок 4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a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637" cy="534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4AE" w:rsidRPr="002601BC">
      <w:rPr>
        <w:rFonts w:ascii="Verdana" w:hAnsi="Verdana"/>
        <w:sz w:val="14"/>
        <w:szCs w:val="14"/>
      </w:rPr>
      <w:t>Утверждено Правлением Банка (</w:t>
    </w:r>
    <w:r w:rsidR="008224AE" w:rsidRPr="002601BC">
      <w:rPr>
        <w:rFonts w:ascii="Verdana" w:hAnsi="Verdana" w:cs="Arial"/>
        <w:sz w:val="14"/>
        <w:szCs w:val="14"/>
      </w:rPr>
      <w:t>Протокол от</w:t>
    </w:r>
    <w:r w:rsidR="00462444">
      <w:rPr>
        <w:rFonts w:ascii="Verdana" w:hAnsi="Verdana" w:cs="Arial"/>
        <w:sz w:val="14"/>
        <w:szCs w:val="14"/>
      </w:rPr>
      <w:t xml:space="preserve"> 21</w:t>
    </w:r>
    <w:r w:rsidR="00E63A95" w:rsidRPr="002601BC">
      <w:rPr>
        <w:rFonts w:ascii="Verdana" w:hAnsi="Verdana" w:cs="Arial"/>
        <w:sz w:val="14"/>
        <w:szCs w:val="14"/>
      </w:rPr>
      <w:t>.</w:t>
    </w:r>
    <w:r w:rsidR="00E91601">
      <w:rPr>
        <w:rFonts w:ascii="Verdana" w:hAnsi="Verdana" w:cs="Arial"/>
        <w:sz w:val="14"/>
        <w:szCs w:val="14"/>
      </w:rPr>
      <w:t>05</w:t>
    </w:r>
    <w:r w:rsidR="008224AE" w:rsidRPr="002601BC">
      <w:rPr>
        <w:rFonts w:ascii="Verdana" w:hAnsi="Verdana" w:cs="Arial"/>
        <w:sz w:val="14"/>
        <w:szCs w:val="14"/>
      </w:rPr>
      <w:t>.</w:t>
    </w:r>
    <w:r w:rsidR="00E91601">
      <w:rPr>
        <w:rFonts w:ascii="Verdana" w:hAnsi="Verdana" w:cs="Arial"/>
        <w:sz w:val="14"/>
        <w:szCs w:val="14"/>
      </w:rPr>
      <w:t xml:space="preserve">2024 </w:t>
    </w:r>
    <w:r w:rsidR="008224AE" w:rsidRPr="002601BC">
      <w:rPr>
        <w:rFonts w:ascii="Verdana" w:hAnsi="Verdana" w:cs="Arial"/>
        <w:sz w:val="14"/>
        <w:szCs w:val="14"/>
      </w:rPr>
      <w:t>№</w:t>
    </w:r>
    <w:r w:rsidR="001E1041">
      <w:rPr>
        <w:rFonts w:ascii="Verdana" w:hAnsi="Verdana" w:cs="Arial"/>
        <w:sz w:val="14"/>
        <w:szCs w:val="14"/>
      </w:rPr>
      <w:t>6</w:t>
    </w:r>
    <w:r w:rsidR="00462444">
      <w:rPr>
        <w:rFonts w:ascii="Verdana" w:hAnsi="Verdana" w:cs="Arial"/>
        <w:sz w:val="14"/>
        <w:szCs w:val="14"/>
      </w:rPr>
      <w:t>3</w:t>
    </w:r>
    <w:bookmarkStart w:id="1" w:name="_GoBack"/>
    <w:bookmarkEnd w:id="1"/>
    <w:r w:rsidR="008224AE" w:rsidRPr="002601BC">
      <w:rPr>
        <w:rFonts w:ascii="Verdana" w:hAnsi="Verdana"/>
        <w:sz w:val="14"/>
        <w:szCs w:val="14"/>
      </w:rPr>
      <w:t>)</w:t>
    </w:r>
  </w:p>
  <w:p w14:paraId="5CA56E71" w14:textId="1F93D090" w:rsidR="00E55FBD" w:rsidRPr="002601BC" w:rsidRDefault="00E55FBD" w:rsidP="00E55FBD">
    <w:pPr>
      <w:tabs>
        <w:tab w:val="left" w:pos="6804"/>
      </w:tabs>
      <w:spacing w:after="0" w:line="360" w:lineRule="auto"/>
      <w:ind w:left="9497"/>
      <w:outlineLvl w:val="2"/>
      <w:rPr>
        <w:rFonts w:ascii="Verdana" w:hAnsi="Verdana" w:cs="Arial"/>
        <w:color w:val="000000" w:themeColor="text1"/>
        <w:sz w:val="14"/>
        <w:szCs w:val="14"/>
      </w:rPr>
    </w:pPr>
    <w:r w:rsidRPr="002601BC">
      <w:rPr>
        <w:rFonts w:ascii="Verdana" w:hAnsi="Verdana" w:cs="Arial"/>
        <w:color w:val="000000" w:themeColor="text1"/>
        <w:sz w:val="14"/>
        <w:szCs w:val="14"/>
      </w:rPr>
      <w:t xml:space="preserve">Приложение </w:t>
    </w:r>
    <w:r w:rsidR="00262223">
      <w:rPr>
        <w:rFonts w:ascii="Verdana" w:hAnsi="Verdana" w:cs="Arial"/>
        <w:color w:val="000000" w:themeColor="text1"/>
        <w:sz w:val="14"/>
        <w:szCs w:val="14"/>
      </w:rPr>
      <w:t>1</w:t>
    </w:r>
    <w:r w:rsidR="00BD180F" w:rsidRPr="002601BC">
      <w:rPr>
        <w:rFonts w:ascii="Verdana" w:hAnsi="Verdana" w:cs="Arial"/>
        <w:color w:val="000000" w:themeColor="text1"/>
        <w:sz w:val="14"/>
        <w:szCs w:val="14"/>
      </w:rPr>
      <w:t xml:space="preserve"> </w:t>
    </w:r>
    <w:r w:rsidRPr="002601BC">
      <w:rPr>
        <w:rFonts w:ascii="Verdana" w:hAnsi="Verdana" w:cs="Arial"/>
        <w:color w:val="000000" w:themeColor="text1"/>
        <w:sz w:val="14"/>
        <w:szCs w:val="14"/>
      </w:rPr>
      <w:t xml:space="preserve">к Приказу от </w:t>
    </w:r>
    <w:r w:rsidR="001E1041">
      <w:rPr>
        <w:rFonts w:ascii="Verdana" w:hAnsi="Verdana" w:cs="Arial"/>
        <w:color w:val="000000" w:themeColor="text1"/>
        <w:sz w:val="14"/>
        <w:szCs w:val="14"/>
      </w:rPr>
      <w:t>22.</w:t>
    </w:r>
    <w:r w:rsidR="00E91601">
      <w:rPr>
        <w:rFonts w:ascii="Verdana" w:hAnsi="Verdana" w:cs="Arial"/>
        <w:color w:val="000000" w:themeColor="text1"/>
        <w:sz w:val="14"/>
        <w:szCs w:val="14"/>
      </w:rPr>
      <w:t>05</w:t>
    </w:r>
    <w:r w:rsidRPr="002601BC">
      <w:rPr>
        <w:rFonts w:ascii="Verdana" w:hAnsi="Verdana" w:cs="Arial"/>
        <w:color w:val="000000" w:themeColor="text1"/>
        <w:sz w:val="14"/>
        <w:szCs w:val="14"/>
      </w:rPr>
      <w:t>.</w:t>
    </w:r>
    <w:r w:rsidR="00E91601">
      <w:rPr>
        <w:rFonts w:ascii="Verdana" w:hAnsi="Verdana" w:cs="Arial"/>
        <w:color w:val="000000" w:themeColor="text1"/>
        <w:sz w:val="14"/>
        <w:szCs w:val="14"/>
      </w:rPr>
      <w:t xml:space="preserve">2024 </w:t>
    </w:r>
    <w:r w:rsidRPr="002601BC">
      <w:rPr>
        <w:rFonts w:ascii="Verdana" w:hAnsi="Verdana" w:cs="Arial"/>
        <w:color w:val="000000" w:themeColor="text1"/>
        <w:sz w:val="14"/>
        <w:szCs w:val="14"/>
      </w:rPr>
      <w:t xml:space="preserve">№ </w:t>
    </w:r>
    <w:r w:rsidR="001E1041">
      <w:rPr>
        <w:rFonts w:ascii="Verdana" w:hAnsi="Verdana" w:cs="Arial"/>
        <w:color w:val="000000" w:themeColor="text1"/>
        <w:sz w:val="14"/>
        <w:szCs w:val="14"/>
      </w:rPr>
      <w:t>704</w:t>
    </w:r>
  </w:p>
  <w:p w14:paraId="72BDFF5A" w14:textId="3CBDA65E" w:rsidR="00E55FBD" w:rsidRPr="002601BC" w:rsidRDefault="00E55FBD" w:rsidP="00E55FBD">
    <w:pPr>
      <w:tabs>
        <w:tab w:val="left" w:pos="6804"/>
      </w:tabs>
      <w:spacing w:after="0" w:line="360" w:lineRule="auto"/>
      <w:ind w:left="9497"/>
      <w:outlineLvl w:val="2"/>
      <w:rPr>
        <w:b/>
        <w:sz w:val="14"/>
        <w:szCs w:val="14"/>
      </w:rPr>
    </w:pPr>
    <w:r w:rsidRPr="002601BC">
      <w:rPr>
        <w:rFonts w:ascii="Verdana" w:hAnsi="Verdana" w:cs="Arial"/>
        <w:b/>
        <w:color w:val="000000" w:themeColor="text1"/>
        <w:sz w:val="14"/>
        <w:szCs w:val="14"/>
      </w:rPr>
      <w:t xml:space="preserve">Введены в действие с </w:t>
    </w:r>
    <w:r w:rsidR="001E1041">
      <w:rPr>
        <w:rFonts w:ascii="Verdana" w:hAnsi="Verdana" w:cs="Arial"/>
        <w:b/>
        <w:color w:val="000000" w:themeColor="text1"/>
        <w:sz w:val="14"/>
        <w:szCs w:val="14"/>
      </w:rPr>
      <w:t>23</w:t>
    </w:r>
    <w:r w:rsidRPr="002601BC">
      <w:rPr>
        <w:rFonts w:ascii="Verdana" w:hAnsi="Verdana" w:cs="Arial"/>
        <w:b/>
        <w:color w:val="000000" w:themeColor="text1"/>
        <w:sz w:val="14"/>
        <w:szCs w:val="14"/>
      </w:rPr>
      <w:t>.</w:t>
    </w:r>
    <w:r w:rsidR="00E91601">
      <w:rPr>
        <w:rFonts w:ascii="Verdana" w:hAnsi="Verdana" w:cs="Arial"/>
        <w:b/>
        <w:color w:val="000000" w:themeColor="text1"/>
        <w:sz w:val="14"/>
        <w:szCs w:val="14"/>
      </w:rPr>
      <w:t>05</w:t>
    </w:r>
    <w:r w:rsidRPr="002601BC">
      <w:rPr>
        <w:rFonts w:ascii="Verdana" w:hAnsi="Verdana" w:cs="Arial"/>
        <w:b/>
        <w:color w:val="000000" w:themeColor="text1"/>
        <w:sz w:val="14"/>
        <w:szCs w:val="14"/>
      </w:rPr>
      <w:t>.</w:t>
    </w:r>
    <w:r w:rsidR="00E91601">
      <w:rPr>
        <w:rFonts w:ascii="Verdana" w:hAnsi="Verdana" w:cs="Arial"/>
        <w:b/>
        <w:color w:val="000000" w:themeColor="text1"/>
        <w:sz w:val="14"/>
        <w:szCs w:val="14"/>
      </w:rPr>
      <w:t>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C4A3" w14:textId="77777777" w:rsidR="00462444" w:rsidRDefault="004624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EB5"/>
    <w:multiLevelType w:val="hybridMultilevel"/>
    <w:tmpl w:val="F0301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B584A"/>
    <w:multiLevelType w:val="hybridMultilevel"/>
    <w:tmpl w:val="9CDE6686"/>
    <w:lvl w:ilvl="0" w:tplc="0419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" w15:restartNumberingAfterBreak="0">
    <w:nsid w:val="1CDE33FF"/>
    <w:multiLevelType w:val="hybridMultilevel"/>
    <w:tmpl w:val="21147CEC"/>
    <w:lvl w:ilvl="0" w:tplc="AB14929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" w15:restartNumberingAfterBreak="0">
    <w:nsid w:val="1F0A08F8"/>
    <w:multiLevelType w:val="hybridMultilevel"/>
    <w:tmpl w:val="FC04D1E4"/>
    <w:lvl w:ilvl="0" w:tplc="95A086E8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4E1DF7"/>
    <w:multiLevelType w:val="hybridMultilevel"/>
    <w:tmpl w:val="53B4B2F2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5" w15:restartNumberingAfterBreak="0">
    <w:nsid w:val="20DE2C82"/>
    <w:multiLevelType w:val="hybridMultilevel"/>
    <w:tmpl w:val="5D7A99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BB0277"/>
    <w:multiLevelType w:val="hybridMultilevel"/>
    <w:tmpl w:val="303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4F45"/>
    <w:multiLevelType w:val="hybridMultilevel"/>
    <w:tmpl w:val="9A78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A332B"/>
    <w:multiLevelType w:val="hybridMultilevel"/>
    <w:tmpl w:val="E1120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11372"/>
    <w:multiLevelType w:val="hybridMultilevel"/>
    <w:tmpl w:val="D8A2761E"/>
    <w:lvl w:ilvl="0" w:tplc="0419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0" w15:restartNumberingAfterBreak="0">
    <w:nsid w:val="28336CFB"/>
    <w:multiLevelType w:val="hybridMultilevel"/>
    <w:tmpl w:val="66FC2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45117"/>
    <w:multiLevelType w:val="hybridMultilevel"/>
    <w:tmpl w:val="5F584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44DE9"/>
    <w:multiLevelType w:val="hybridMultilevel"/>
    <w:tmpl w:val="4E22B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12A3D"/>
    <w:multiLevelType w:val="hybridMultilevel"/>
    <w:tmpl w:val="21147CEC"/>
    <w:lvl w:ilvl="0" w:tplc="AB14929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4" w15:restartNumberingAfterBreak="0">
    <w:nsid w:val="3C425E76"/>
    <w:multiLevelType w:val="hybridMultilevel"/>
    <w:tmpl w:val="49C8E5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9C30A5"/>
    <w:multiLevelType w:val="hybridMultilevel"/>
    <w:tmpl w:val="4C920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04AF4"/>
    <w:multiLevelType w:val="hybridMultilevel"/>
    <w:tmpl w:val="5472124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484D006D"/>
    <w:multiLevelType w:val="hybridMultilevel"/>
    <w:tmpl w:val="303E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D4255"/>
    <w:multiLevelType w:val="hybridMultilevel"/>
    <w:tmpl w:val="14624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13262"/>
    <w:multiLevelType w:val="multilevel"/>
    <w:tmpl w:val="B7CC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0ED572E"/>
    <w:multiLevelType w:val="hybridMultilevel"/>
    <w:tmpl w:val="A1F81A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6F65083"/>
    <w:multiLevelType w:val="hybridMultilevel"/>
    <w:tmpl w:val="EA1CE226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F33807"/>
    <w:multiLevelType w:val="hybridMultilevel"/>
    <w:tmpl w:val="617C5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F48CF"/>
    <w:multiLevelType w:val="hybridMultilevel"/>
    <w:tmpl w:val="B06E05E0"/>
    <w:lvl w:ilvl="0" w:tplc="F2A67F94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17"/>
  </w:num>
  <w:num w:numId="5">
    <w:abstractNumId w:val="15"/>
  </w:num>
  <w:num w:numId="6">
    <w:abstractNumId w:val="3"/>
  </w:num>
  <w:num w:numId="7">
    <w:abstractNumId w:val="20"/>
  </w:num>
  <w:num w:numId="8">
    <w:abstractNumId w:val="21"/>
  </w:num>
  <w:num w:numId="9">
    <w:abstractNumId w:val="9"/>
  </w:num>
  <w:num w:numId="10">
    <w:abstractNumId w:val="4"/>
  </w:num>
  <w:num w:numId="11">
    <w:abstractNumId w:val="11"/>
  </w:num>
  <w:num w:numId="12">
    <w:abstractNumId w:val="1"/>
  </w:num>
  <w:num w:numId="13">
    <w:abstractNumId w:val="23"/>
  </w:num>
  <w:num w:numId="14">
    <w:abstractNumId w:val="16"/>
  </w:num>
  <w:num w:numId="15">
    <w:abstractNumId w:val="13"/>
  </w:num>
  <w:num w:numId="16">
    <w:abstractNumId w:val="2"/>
  </w:num>
  <w:num w:numId="17">
    <w:abstractNumId w:val="18"/>
  </w:num>
  <w:num w:numId="18">
    <w:abstractNumId w:val="14"/>
  </w:num>
  <w:num w:numId="19">
    <w:abstractNumId w:val="0"/>
  </w:num>
  <w:num w:numId="20">
    <w:abstractNumId w:val="5"/>
  </w:num>
  <w:num w:numId="21">
    <w:abstractNumId w:val="12"/>
  </w:num>
  <w:num w:numId="22">
    <w:abstractNumId w:val="8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F7"/>
    <w:rsid w:val="000000A6"/>
    <w:rsid w:val="00000686"/>
    <w:rsid w:val="000017BB"/>
    <w:rsid w:val="00002265"/>
    <w:rsid w:val="00004112"/>
    <w:rsid w:val="00004943"/>
    <w:rsid w:val="000065D6"/>
    <w:rsid w:val="00014BD2"/>
    <w:rsid w:val="00016026"/>
    <w:rsid w:val="00016A12"/>
    <w:rsid w:val="000213C3"/>
    <w:rsid w:val="00021F7D"/>
    <w:rsid w:val="00024DF9"/>
    <w:rsid w:val="00026151"/>
    <w:rsid w:val="000310BB"/>
    <w:rsid w:val="000341C1"/>
    <w:rsid w:val="00034F3D"/>
    <w:rsid w:val="000350BA"/>
    <w:rsid w:val="000379B9"/>
    <w:rsid w:val="000413B9"/>
    <w:rsid w:val="00045E7D"/>
    <w:rsid w:val="00046C25"/>
    <w:rsid w:val="00056433"/>
    <w:rsid w:val="000569A6"/>
    <w:rsid w:val="00056B83"/>
    <w:rsid w:val="0005727D"/>
    <w:rsid w:val="00060315"/>
    <w:rsid w:val="00061DDF"/>
    <w:rsid w:val="0006433E"/>
    <w:rsid w:val="00065941"/>
    <w:rsid w:val="00067359"/>
    <w:rsid w:val="00071CDE"/>
    <w:rsid w:val="00071DD8"/>
    <w:rsid w:val="00072A0D"/>
    <w:rsid w:val="000743E7"/>
    <w:rsid w:val="00074900"/>
    <w:rsid w:val="00075B02"/>
    <w:rsid w:val="00090FFA"/>
    <w:rsid w:val="0009336D"/>
    <w:rsid w:val="00093EF2"/>
    <w:rsid w:val="0009470A"/>
    <w:rsid w:val="000953B9"/>
    <w:rsid w:val="00097705"/>
    <w:rsid w:val="00097B29"/>
    <w:rsid w:val="00097F29"/>
    <w:rsid w:val="000A0A9E"/>
    <w:rsid w:val="000A2E62"/>
    <w:rsid w:val="000A4DAF"/>
    <w:rsid w:val="000A626F"/>
    <w:rsid w:val="000B4E0F"/>
    <w:rsid w:val="000B5855"/>
    <w:rsid w:val="000C2D60"/>
    <w:rsid w:val="000C55C8"/>
    <w:rsid w:val="000C69C2"/>
    <w:rsid w:val="000C7328"/>
    <w:rsid w:val="000D00E2"/>
    <w:rsid w:val="000D1505"/>
    <w:rsid w:val="000D25C3"/>
    <w:rsid w:val="000D2FCB"/>
    <w:rsid w:val="000D3044"/>
    <w:rsid w:val="000D36C1"/>
    <w:rsid w:val="000D38B1"/>
    <w:rsid w:val="000D49DA"/>
    <w:rsid w:val="000E1F09"/>
    <w:rsid w:val="000E369B"/>
    <w:rsid w:val="000E3755"/>
    <w:rsid w:val="000E6615"/>
    <w:rsid w:val="000F14D9"/>
    <w:rsid w:val="000F2928"/>
    <w:rsid w:val="000F547E"/>
    <w:rsid w:val="000F69D4"/>
    <w:rsid w:val="000F6CBD"/>
    <w:rsid w:val="000F7596"/>
    <w:rsid w:val="000F7872"/>
    <w:rsid w:val="001017E0"/>
    <w:rsid w:val="00102055"/>
    <w:rsid w:val="0010392D"/>
    <w:rsid w:val="00103CDD"/>
    <w:rsid w:val="0010419E"/>
    <w:rsid w:val="00104BC6"/>
    <w:rsid w:val="00105CB8"/>
    <w:rsid w:val="00111281"/>
    <w:rsid w:val="001115C8"/>
    <w:rsid w:val="00112A85"/>
    <w:rsid w:val="00115398"/>
    <w:rsid w:val="001165E7"/>
    <w:rsid w:val="0012546A"/>
    <w:rsid w:val="001265E3"/>
    <w:rsid w:val="001278F7"/>
    <w:rsid w:val="001303B3"/>
    <w:rsid w:val="001314F6"/>
    <w:rsid w:val="001317D1"/>
    <w:rsid w:val="00133876"/>
    <w:rsid w:val="001369B6"/>
    <w:rsid w:val="00142297"/>
    <w:rsid w:val="0014285A"/>
    <w:rsid w:val="0014309F"/>
    <w:rsid w:val="00143690"/>
    <w:rsid w:val="00143C35"/>
    <w:rsid w:val="00147BB8"/>
    <w:rsid w:val="00151751"/>
    <w:rsid w:val="00154016"/>
    <w:rsid w:val="00161752"/>
    <w:rsid w:val="001618B7"/>
    <w:rsid w:val="001625DF"/>
    <w:rsid w:val="001636CC"/>
    <w:rsid w:val="00164001"/>
    <w:rsid w:val="001663D1"/>
    <w:rsid w:val="00170FB3"/>
    <w:rsid w:val="0017111D"/>
    <w:rsid w:val="00173C77"/>
    <w:rsid w:val="00174A7E"/>
    <w:rsid w:val="001755DE"/>
    <w:rsid w:val="0018030B"/>
    <w:rsid w:val="0018168E"/>
    <w:rsid w:val="00184F9D"/>
    <w:rsid w:val="00185F3C"/>
    <w:rsid w:val="00186BE2"/>
    <w:rsid w:val="0018776E"/>
    <w:rsid w:val="00192545"/>
    <w:rsid w:val="00194686"/>
    <w:rsid w:val="00197C5D"/>
    <w:rsid w:val="001A45F7"/>
    <w:rsid w:val="001A4954"/>
    <w:rsid w:val="001A56C2"/>
    <w:rsid w:val="001B01EF"/>
    <w:rsid w:val="001B2362"/>
    <w:rsid w:val="001B2D96"/>
    <w:rsid w:val="001B3485"/>
    <w:rsid w:val="001B5F48"/>
    <w:rsid w:val="001C2252"/>
    <w:rsid w:val="001C5DDC"/>
    <w:rsid w:val="001C7332"/>
    <w:rsid w:val="001D3191"/>
    <w:rsid w:val="001D4CB6"/>
    <w:rsid w:val="001D56F0"/>
    <w:rsid w:val="001E1041"/>
    <w:rsid w:val="001E18C5"/>
    <w:rsid w:val="001E1BB4"/>
    <w:rsid w:val="001F010A"/>
    <w:rsid w:val="001F1493"/>
    <w:rsid w:val="001F4FFF"/>
    <w:rsid w:val="001F608B"/>
    <w:rsid w:val="001F63F2"/>
    <w:rsid w:val="00200F22"/>
    <w:rsid w:val="0020172D"/>
    <w:rsid w:val="002029C5"/>
    <w:rsid w:val="002039AF"/>
    <w:rsid w:val="00205404"/>
    <w:rsid w:val="00206E90"/>
    <w:rsid w:val="00213C6F"/>
    <w:rsid w:val="002148E9"/>
    <w:rsid w:val="002153DD"/>
    <w:rsid w:val="0021618C"/>
    <w:rsid w:val="00221EF3"/>
    <w:rsid w:val="0022264E"/>
    <w:rsid w:val="00223D17"/>
    <w:rsid w:val="00224A5E"/>
    <w:rsid w:val="00226EA5"/>
    <w:rsid w:val="00230F61"/>
    <w:rsid w:val="002317AE"/>
    <w:rsid w:val="00231FAC"/>
    <w:rsid w:val="002338CD"/>
    <w:rsid w:val="00233F3E"/>
    <w:rsid w:val="00234C19"/>
    <w:rsid w:val="00235D69"/>
    <w:rsid w:val="002363C2"/>
    <w:rsid w:val="0023778C"/>
    <w:rsid w:val="00237AE9"/>
    <w:rsid w:val="0024034A"/>
    <w:rsid w:val="0024411B"/>
    <w:rsid w:val="00245BFC"/>
    <w:rsid w:val="00246750"/>
    <w:rsid w:val="00247D13"/>
    <w:rsid w:val="00250E10"/>
    <w:rsid w:val="00252C63"/>
    <w:rsid w:val="002601BC"/>
    <w:rsid w:val="002609B4"/>
    <w:rsid w:val="00262223"/>
    <w:rsid w:val="00263602"/>
    <w:rsid w:val="00272E26"/>
    <w:rsid w:val="00274175"/>
    <w:rsid w:val="0028352D"/>
    <w:rsid w:val="00283903"/>
    <w:rsid w:val="00283DB9"/>
    <w:rsid w:val="00283F59"/>
    <w:rsid w:val="002849A1"/>
    <w:rsid w:val="0028586B"/>
    <w:rsid w:val="00290731"/>
    <w:rsid w:val="00297E64"/>
    <w:rsid w:val="002A0677"/>
    <w:rsid w:val="002A0EE4"/>
    <w:rsid w:val="002A192A"/>
    <w:rsid w:val="002A2AF6"/>
    <w:rsid w:val="002A2EC7"/>
    <w:rsid w:val="002A4C01"/>
    <w:rsid w:val="002A50C3"/>
    <w:rsid w:val="002A56AB"/>
    <w:rsid w:val="002A5A90"/>
    <w:rsid w:val="002B09F3"/>
    <w:rsid w:val="002B3971"/>
    <w:rsid w:val="002B5FCF"/>
    <w:rsid w:val="002B6D13"/>
    <w:rsid w:val="002C2C51"/>
    <w:rsid w:val="002C72A3"/>
    <w:rsid w:val="002C7FCF"/>
    <w:rsid w:val="002D39F6"/>
    <w:rsid w:val="002D7DC5"/>
    <w:rsid w:val="002E00C2"/>
    <w:rsid w:val="002E1790"/>
    <w:rsid w:val="002F6873"/>
    <w:rsid w:val="003012B3"/>
    <w:rsid w:val="0030176B"/>
    <w:rsid w:val="00303426"/>
    <w:rsid w:val="00304E90"/>
    <w:rsid w:val="00306736"/>
    <w:rsid w:val="00307B43"/>
    <w:rsid w:val="003109CE"/>
    <w:rsid w:val="00311185"/>
    <w:rsid w:val="00311F1D"/>
    <w:rsid w:val="003146B8"/>
    <w:rsid w:val="00315C53"/>
    <w:rsid w:val="00317D8A"/>
    <w:rsid w:val="00322974"/>
    <w:rsid w:val="00323162"/>
    <w:rsid w:val="00325254"/>
    <w:rsid w:val="00330887"/>
    <w:rsid w:val="00330FC7"/>
    <w:rsid w:val="00332B12"/>
    <w:rsid w:val="00332F3D"/>
    <w:rsid w:val="003357EF"/>
    <w:rsid w:val="00335EFE"/>
    <w:rsid w:val="0033778D"/>
    <w:rsid w:val="00337EF7"/>
    <w:rsid w:val="00340856"/>
    <w:rsid w:val="00352C5C"/>
    <w:rsid w:val="0035385B"/>
    <w:rsid w:val="00353F89"/>
    <w:rsid w:val="0035410C"/>
    <w:rsid w:val="00357AD0"/>
    <w:rsid w:val="00362E80"/>
    <w:rsid w:val="00365862"/>
    <w:rsid w:val="003666E7"/>
    <w:rsid w:val="00366E29"/>
    <w:rsid w:val="00370CE5"/>
    <w:rsid w:val="00370DA0"/>
    <w:rsid w:val="00371984"/>
    <w:rsid w:val="003725FE"/>
    <w:rsid w:val="00376557"/>
    <w:rsid w:val="003778FC"/>
    <w:rsid w:val="00381B59"/>
    <w:rsid w:val="00381B5E"/>
    <w:rsid w:val="00384317"/>
    <w:rsid w:val="00385554"/>
    <w:rsid w:val="00386794"/>
    <w:rsid w:val="00387314"/>
    <w:rsid w:val="003902F3"/>
    <w:rsid w:val="003915A8"/>
    <w:rsid w:val="0039237B"/>
    <w:rsid w:val="00397A01"/>
    <w:rsid w:val="003A0A6C"/>
    <w:rsid w:val="003A18E2"/>
    <w:rsid w:val="003A44B9"/>
    <w:rsid w:val="003A54DE"/>
    <w:rsid w:val="003A5AC2"/>
    <w:rsid w:val="003A71BC"/>
    <w:rsid w:val="003B3009"/>
    <w:rsid w:val="003B30A8"/>
    <w:rsid w:val="003B49B6"/>
    <w:rsid w:val="003B536B"/>
    <w:rsid w:val="003B5674"/>
    <w:rsid w:val="003C0345"/>
    <w:rsid w:val="003C1320"/>
    <w:rsid w:val="003C1B4F"/>
    <w:rsid w:val="003C3699"/>
    <w:rsid w:val="003C766A"/>
    <w:rsid w:val="003D1227"/>
    <w:rsid w:val="003D42D0"/>
    <w:rsid w:val="003D4A26"/>
    <w:rsid w:val="003D4D39"/>
    <w:rsid w:val="003D5EC4"/>
    <w:rsid w:val="003D6F74"/>
    <w:rsid w:val="003D7BEB"/>
    <w:rsid w:val="003E30E0"/>
    <w:rsid w:val="003E4A11"/>
    <w:rsid w:val="003E7678"/>
    <w:rsid w:val="003E7C4F"/>
    <w:rsid w:val="003F04DA"/>
    <w:rsid w:val="003F0632"/>
    <w:rsid w:val="003F2C46"/>
    <w:rsid w:val="003F3426"/>
    <w:rsid w:val="003F4502"/>
    <w:rsid w:val="003F4883"/>
    <w:rsid w:val="003F5122"/>
    <w:rsid w:val="003F5AD6"/>
    <w:rsid w:val="003F7271"/>
    <w:rsid w:val="003F7595"/>
    <w:rsid w:val="00401DA4"/>
    <w:rsid w:val="00403B8D"/>
    <w:rsid w:val="00403ED7"/>
    <w:rsid w:val="00405386"/>
    <w:rsid w:val="004065A6"/>
    <w:rsid w:val="004077BC"/>
    <w:rsid w:val="00411B8C"/>
    <w:rsid w:val="00412600"/>
    <w:rsid w:val="004179DC"/>
    <w:rsid w:val="00421295"/>
    <w:rsid w:val="00421FC6"/>
    <w:rsid w:val="00422231"/>
    <w:rsid w:val="00422913"/>
    <w:rsid w:val="00423720"/>
    <w:rsid w:val="004253FB"/>
    <w:rsid w:val="00433238"/>
    <w:rsid w:val="00434AC8"/>
    <w:rsid w:val="00436F2C"/>
    <w:rsid w:val="0044149B"/>
    <w:rsid w:val="00441BFB"/>
    <w:rsid w:val="0044270C"/>
    <w:rsid w:val="00442FF8"/>
    <w:rsid w:val="004435FA"/>
    <w:rsid w:val="00444CD5"/>
    <w:rsid w:val="00446E7C"/>
    <w:rsid w:val="004474B8"/>
    <w:rsid w:val="00455C20"/>
    <w:rsid w:val="0045642E"/>
    <w:rsid w:val="00462444"/>
    <w:rsid w:val="0046487C"/>
    <w:rsid w:val="004651BF"/>
    <w:rsid w:val="00465605"/>
    <w:rsid w:val="00472377"/>
    <w:rsid w:val="0047318C"/>
    <w:rsid w:val="00475F07"/>
    <w:rsid w:val="00476CA2"/>
    <w:rsid w:val="00476ECD"/>
    <w:rsid w:val="00483C68"/>
    <w:rsid w:val="00496E0D"/>
    <w:rsid w:val="004A0250"/>
    <w:rsid w:val="004A0B3B"/>
    <w:rsid w:val="004A1C77"/>
    <w:rsid w:val="004A3AE8"/>
    <w:rsid w:val="004A41FF"/>
    <w:rsid w:val="004B1D6E"/>
    <w:rsid w:val="004B630E"/>
    <w:rsid w:val="004C482A"/>
    <w:rsid w:val="004D0528"/>
    <w:rsid w:val="004D0D61"/>
    <w:rsid w:val="004D1BEC"/>
    <w:rsid w:val="004D1DB1"/>
    <w:rsid w:val="004D5BE1"/>
    <w:rsid w:val="004D6557"/>
    <w:rsid w:val="004D7B14"/>
    <w:rsid w:val="004E05A9"/>
    <w:rsid w:val="004E0DD8"/>
    <w:rsid w:val="004E163F"/>
    <w:rsid w:val="004F128C"/>
    <w:rsid w:val="004F2092"/>
    <w:rsid w:val="004F2DB1"/>
    <w:rsid w:val="004F3E71"/>
    <w:rsid w:val="004F49B9"/>
    <w:rsid w:val="004F6434"/>
    <w:rsid w:val="004F6FF5"/>
    <w:rsid w:val="004F743D"/>
    <w:rsid w:val="00500945"/>
    <w:rsid w:val="005033D1"/>
    <w:rsid w:val="0050430D"/>
    <w:rsid w:val="005051A1"/>
    <w:rsid w:val="005051FB"/>
    <w:rsid w:val="005053F3"/>
    <w:rsid w:val="00505859"/>
    <w:rsid w:val="0050659E"/>
    <w:rsid w:val="0050776D"/>
    <w:rsid w:val="00510F0E"/>
    <w:rsid w:val="00513015"/>
    <w:rsid w:val="0051346D"/>
    <w:rsid w:val="0051725E"/>
    <w:rsid w:val="005207BC"/>
    <w:rsid w:val="005211EF"/>
    <w:rsid w:val="00523109"/>
    <w:rsid w:val="00524A22"/>
    <w:rsid w:val="005253BF"/>
    <w:rsid w:val="00527730"/>
    <w:rsid w:val="005309FA"/>
    <w:rsid w:val="005331C2"/>
    <w:rsid w:val="005363EF"/>
    <w:rsid w:val="00543A13"/>
    <w:rsid w:val="005445BE"/>
    <w:rsid w:val="00544BBE"/>
    <w:rsid w:val="00544FD8"/>
    <w:rsid w:val="00545A76"/>
    <w:rsid w:val="00547CD9"/>
    <w:rsid w:val="00551D94"/>
    <w:rsid w:val="00552B4D"/>
    <w:rsid w:val="0055353D"/>
    <w:rsid w:val="00555D75"/>
    <w:rsid w:val="00557402"/>
    <w:rsid w:val="0056010B"/>
    <w:rsid w:val="0056081B"/>
    <w:rsid w:val="00562483"/>
    <w:rsid w:val="00562AA9"/>
    <w:rsid w:val="0056589C"/>
    <w:rsid w:val="00570C56"/>
    <w:rsid w:val="00572820"/>
    <w:rsid w:val="00573B62"/>
    <w:rsid w:val="00574BFF"/>
    <w:rsid w:val="0057521E"/>
    <w:rsid w:val="005764F3"/>
    <w:rsid w:val="00580756"/>
    <w:rsid w:val="005834A6"/>
    <w:rsid w:val="00583654"/>
    <w:rsid w:val="00584157"/>
    <w:rsid w:val="0058487E"/>
    <w:rsid w:val="005863B2"/>
    <w:rsid w:val="0058719D"/>
    <w:rsid w:val="00587242"/>
    <w:rsid w:val="0059384A"/>
    <w:rsid w:val="005957DB"/>
    <w:rsid w:val="0059679D"/>
    <w:rsid w:val="00597649"/>
    <w:rsid w:val="00597918"/>
    <w:rsid w:val="005A0513"/>
    <w:rsid w:val="005A0D53"/>
    <w:rsid w:val="005A12E2"/>
    <w:rsid w:val="005A391D"/>
    <w:rsid w:val="005A404C"/>
    <w:rsid w:val="005A5F13"/>
    <w:rsid w:val="005B060F"/>
    <w:rsid w:val="005B1275"/>
    <w:rsid w:val="005B2B27"/>
    <w:rsid w:val="005B436C"/>
    <w:rsid w:val="005B55FD"/>
    <w:rsid w:val="005B6992"/>
    <w:rsid w:val="005C1733"/>
    <w:rsid w:val="005C2752"/>
    <w:rsid w:val="005C5DEF"/>
    <w:rsid w:val="005D24BD"/>
    <w:rsid w:val="005D66F6"/>
    <w:rsid w:val="005D7F83"/>
    <w:rsid w:val="005E0F45"/>
    <w:rsid w:val="005E32DB"/>
    <w:rsid w:val="005E7371"/>
    <w:rsid w:val="005E786D"/>
    <w:rsid w:val="005F1640"/>
    <w:rsid w:val="005F1E84"/>
    <w:rsid w:val="005F25EE"/>
    <w:rsid w:val="005F3141"/>
    <w:rsid w:val="005F492A"/>
    <w:rsid w:val="005F62BD"/>
    <w:rsid w:val="005F7846"/>
    <w:rsid w:val="00605E5C"/>
    <w:rsid w:val="00606E0F"/>
    <w:rsid w:val="00610E2D"/>
    <w:rsid w:val="00611D27"/>
    <w:rsid w:val="00613A1B"/>
    <w:rsid w:val="00621D4C"/>
    <w:rsid w:val="00622BBF"/>
    <w:rsid w:val="00624747"/>
    <w:rsid w:val="00624AA7"/>
    <w:rsid w:val="00625713"/>
    <w:rsid w:val="00630662"/>
    <w:rsid w:val="00631009"/>
    <w:rsid w:val="00633FB3"/>
    <w:rsid w:val="00640992"/>
    <w:rsid w:val="00642B50"/>
    <w:rsid w:val="00642D62"/>
    <w:rsid w:val="00644419"/>
    <w:rsid w:val="00644AF9"/>
    <w:rsid w:val="006462C4"/>
    <w:rsid w:val="0064684D"/>
    <w:rsid w:val="006478CD"/>
    <w:rsid w:val="00647BE5"/>
    <w:rsid w:val="006524FB"/>
    <w:rsid w:val="006545BF"/>
    <w:rsid w:val="00655769"/>
    <w:rsid w:val="00655BB8"/>
    <w:rsid w:val="00660F96"/>
    <w:rsid w:val="00661991"/>
    <w:rsid w:val="00663E64"/>
    <w:rsid w:val="00666F03"/>
    <w:rsid w:val="00670434"/>
    <w:rsid w:val="00674B0C"/>
    <w:rsid w:val="00675768"/>
    <w:rsid w:val="00681E73"/>
    <w:rsid w:val="00681F2C"/>
    <w:rsid w:val="00683F4A"/>
    <w:rsid w:val="0068571C"/>
    <w:rsid w:val="006901F7"/>
    <w:rsid w:val="006922BA"/>
    <w:rsid w:val="006973E1"/>
    <w:rsid w:val="006A3A0B"/>
    <w:rsid w:val="006A44A7"/>
    <w:rsid w:val="006A7F2C"/>
    <w:rsid w:val="006B624D"/>
    <w:rsid w:val="006B698E"/>
    <w:rsid w:val="006B76FF"/>
    <w:rsid w:val="006B7A9F"/>
    <w:rsid w:val="006B7BB3"/>
    <w:rsid w:val="006C0F52"/>
    <w:rsid w:val="006C190A"/>
    <w:rsid w:val="006C1CEB"/>
    <w:rsid w:val="006C5A41"/>
    <w:rsid w:val="006C5DD2"/>
    <w:rsid w:val="006D0750"/>
    <w:rsid w:val="006D283A"/>
    <w:rsid w:val="006D684D"/>
    <w:rsid w:val="006E0B74"/>
    <w:rsid w:val="006E47F5"/>
    <w:rsid w:val="006E6AD3"/>
    <w:rsid w:val="006E753D"/>
    <w:rsid w:val="006E7D16"/>
    <w:rsid w:val="006E7FB7"/>
    <w:rsid w:val="006F08D4"/>
    <w:rsid w:val="006F2F35"/>
    <w:rsid w:val="006F41A9"/>
    <w:rsid w:val="006F4456"/>
    <w:rsid w:val="006F5BDB"/>
    <w:rsid w:val="006F64F3"/>
    <w:rsid w:val="006F78FE"/>
    <w:rsid w:val="007008A9"/>
    <w:rsid w:val="00701202"/>
    <w:rsid w:val="007036CF"/>
    <w:rsid w:val="00705925"/>
    <w:rsid w:val="0071182C"/>
    <w:rsid w:val="00711C56"/>
    <w:rsid w:val="00714604"/>
    <w:rsid w:val="007151E0"/>
    <w:rsid w:val="00715CDB"/>
    <w:rsid w:val="00716245"/>
    <w:rsid w:val="00716305"/>
    <w:rsid w:val="0071657A"/>
    <w:rsid w:val="00716EFD"/>
    <w:rsid w:val="007216BD"/>
    <w:rsid w:val="00721F50"/>
    <w:rsid w:val="007230D2"/>
    <w:rsid w:val="007248CD"/>
    <w:rsid w:val="00725D2A"/>
    <w:rsid w:val="00725D77"/>
    <w:rsid w:val="00727A51"/>
    <w:rsid w:val="00727DB3"/>
    <w:rsid w:val="00731847"/>
    <w:rsid w:val="00737DD5"/>
    <w:rsid w:val="00741E31"/>
    <w:rsid w:val="00742643"/>
    <w:rsid w:val="0074514E"/>
    <w:rsid w:val="00746196"/>
    <w:rsid w:val="007461D6"/>
    <w:rsid w:val="007512C9"/>
    <w:rsid w:val="0075184E"/>
    <w:rsid w:val="00751E5B"/>
    <w:rsid w:val="007521A4"/>
    <w:rsid w:val="00753E84"/>
    <w:rsid w:val="00754680"/>
    <w:rsid w:val="007552DD"/>
    <w:rsid w:val="0075648A"/>
    <w:rsid w:val="0075795E"/>
    <w:rsid w:val="00757B4F"/>
    <w:rsid w:val="007607FA"/>
    <w:rsid w:val="00761C88"/>
    <w:rsid w:val="00762B0C"/>
    <w:rsid w:val="0076364F"/>
    <w:rsid w:val="00764CAD"/>
    <w:rsid w:val="0076590C"/>
    <w:rsid w:val="00766C5D"/>
    <w:rsid w:val="00767085"/>
    <w:rsid w:val="007703F7"/>
    <w:rsid w:val="00770780"/>
    <w:rsid w:val="00771B98"/>
    <w:rsid w:val="00771E78"/>
    <w:rsid w:val="00773741"/>
    <w:rsid w:val="00776AB6"/>
    <w:rsid w:val="00776F42"/>
    <w:rsid w:val="00777478"/>
    <w:rsid w:val="00777A81"/>
    <w:rsid w:val="0078141A"/>
    <w:rsid w:val="0078243F"/>
    <w:rsid w:val="007875E4"/>
    <w:rsid w:val="00791AF1"/>
    <w:rsid w:val="00792EC4"/>
    <w:rsid w:val="00793D38"/>
    <w:rsid w:val="00794192"/>
    <w:rsid w:val="00797E33"/>
    <w:rsid w:val="007A0441"/>
    <w:rsid w:val="007A0C6C"/>
    <w:rsid w:val="007A4AEA"/>
    <w:rsid w:val="007A5703"/>
    <w:rsid w:val="007A6AD2"/>
    <w:rsid w:val="007A7F51"/>
    <w:rsid w:val="007B0EC2"/>
    <w:rsid w:val="007B191A"/>
    <w:rsid w:val="007B6DCB"/>
    <w:rsid w:val="007B7C71"/>
    <w:rsid w:val="007C13C5"/>
    <w:rsid w:val="007C2DD0"/>
    <w:rsid w:val="007C462A"/>
    <w:rsid w:val="007C47F6"/>
    <w:rsid w:val="007C4D30"/>
    <w:rsid w:val="007C5B0A"/>
    <w:rsid w:val="007C6F33"/>
    <w:rsid w:val="007C7FE8"/>
    <w:rsid w:val="007D0F8E"/>
    <w:rsid w:val="007D1278"/>
    <w:rsid w:val="007D1EC8"/>
    <w:rsid w:val="007D21F3"/>
    <w:rsid w:val="007D62C5"/>
    <w:rsid w:val="007D7E3A"/>
    <w:rsid w:val="007E16CB"/>
    <w:rsid w:val="007E26D7"/>
    <w:rsid w:val="007E3EE1"/>
    <w:rsid w:val="007E53AD"/>
    <w:rsid w:val="007F0747"/>
    <w:rsid w:val="007F2119"/>
    <w:rsid w:val="007F2BD5"/>
    <w:rsid w:val="007F313B"/>
    <w:rsid w:val="007F38E2"/>
    <w:rsid w:val="007F3D78"/>
    <w:rsid w:val="007F5E83"/>
    <w:rsid w:val="00800CC6"/>
    <w:rsid w:val="008022C7"/>
    <w:rsid w:val="00802B11"/>
    <w:rsid w:val="008046CB"/>
    <w:rsid w:val="00804A6E"/>
    <w:rsid w:val="00804FB3"/>
    <w:rsid w:val="00811071"/>
    <w:rsid w:val="008112FB"/>
    <w:rsid w:val="00815C68"/>
    <w:rsid w:val="008165DF"/>
    <w:rsid w:val="00817D55"/>
    <w:rsid w:val="008204EC"/>
    <w:rsid w:val="008224AE"/>
    <w:rsid w:val="0082518C"/>
    <w:rsid w:val="00827329"/>
    <w:rsid w:val="0083063E"/>
    <w:rsid w:val="00831645"/>
    <w:rsid w:val="00831EA2"/>
    <w:rsid w:val="00832251"/>
    <w:rsid w:val="00832E4D"/>
    <w:rsid w:val="0083489C"/>
    <w:rsid w:val="00834E4E"/>
    <w:rsid w:val="00843EA1"/>
    <w:rsid w:val="008443A4"/>
    <w:rsid w:val="00844520"/>
    <w:rsid w:val="00850315"/>
    <w:rsid w:val="008519D2"/>
    <w:rsid w:val="0085313B"/>
    <w:rsid w:val="008533DB"/>
    <w:rsid w:val="00853553"/>
    <w:rsid w:val="008565EA"/>
    <w:rsid w:val="008572AD"/>
    <w:rsid w:val="0086186E"/>
    <w:rsid w:val="00867259"/>
    <w:rsid w:val="00872769"/>
    <w:rsid w:val="00873E9C"/>
    <w:rsid w:val="008740D5"/>
    <w:rsid w:val="00874361"/>
    <w:rsid w:val="008814BE"/>
    <w:rsid w:val="00885333"/>
    <w:rsid w:val="00891AB7"/>
    <w:rsid w:val="0089312A"/>
    <w:rsid w:val="008933D0"/>
    <w:rsid w:val="008945A4"/>
    <w:rsid w:val="00894BD3"/>
    <w:rsid w:val="00894EB6"/>
    <w:rsid w:val="008962C8"/>
    <w:rsid w:val="008A0AEA"/>
    <w:rsid w:val="008A2F54"/>
    <w:rsid w:val="008A56DD"/>
    <w:rsid w:val="008A5885"/>
    <w:rsid w:val="008A5CC0"/>
    <w:rsid w:val="008A6745"/>
    <w:rsid w:val="008A76EE"/>
    <w:rsid w:val="008A79C7"/>
    <w:rsid w:val="008A7D7C"/>
    <w:rsid w:val="008B0AEB"/>
    <w:rsid w:val="008B2E40"/>
    <w:rsid w:val="008C046F"/>
    <w:rsid w:val="008C32B2"/>
    <w:rsid w:val="008D1F89"/>
    <w:rsid w:val="008D33C5"/>
    <w:rsid w:val="008E32D9"/>
    <w:rsid w:val="008F061B"/>
    <w:rsid w:val="008F09EC"/>
    <w:rsid w:val="008F1769"/>
    <w:rsid w:val="008F1B99"/>
    <w:rsid w:val="008F356E"/>
    <w:rsid w:val="008F39B2"/>
    <w:rsid w:val="008F42F9"/>
    <w:rsid w:val="008F49EA"/>
    <w:rsid w:val="008F5FB2"/>
    <w:rsid w:val="008F7661"/>
    <w:rsid w:val="00901627"/>
    <w:rsid w:val="00902989"/>
    <w:rsid w:val="00903475"/>
    <w:rsid w:val="00903C83"/>
    <w:rsid w:val="00913353"/>
    <w:rsid w:val="00914858"/>
    <w:rsid w:val="00920400"/>
    <w:rsid w:val="00921BC7"/>
    <w:rsid w:val="00921CE5"/>
    <w:rsid w:val="00923180"/>
    <w:rsid w:val="009231BF"/>
    <w:rsid w:val="00926BD3"/>
    <w:rsid w:val="00926F72"/>
    <w:rsid w:val="0092721A"/>
    <w:rsid w:val="00932C76"/>
    <w:rsid w:val="00937F4A"/>
    <w:rsid w:val="009434A5"/>
    <w:rsid w:val="00946945"/>
    <w:rsid w:val="00947612"/>
    <w:rsid w:val="009532CC"/>
    <w:rsid w:val="009546BF"/>
    <w:rsid w:val="00956E9F"/>
    <w:rsid w:val="00957C7C"/>
    <w:rsid w:val="00957EB0"/>
    <w:rsid w:val="00960DB9"/>
    <w:rsid w:val="009611EB"/>
    <w:rsid w:val="00964D03"/>
    <w:rsid w:val="00965BAE"/>
    <w:rsid w:val="00966095"/>
    <w:rsid w:val="0096628D"/>
    <w:rsid w:val="00966702"/>
    <w:rsid w:val="009707BD"/>
    <w:rsid w:val="009708E6"/>
    <w:rsid w:val="009727A5"/>
    <w:rsid w:val="00973251"/>
    <w:rsid w:val="0097335D"/>
    <w:rsid w:val="0097357E"/>
    <w:rsid w:val="009760A3"/>
    <w:rsid w:val="009773CC"/>
    <w:rsid w:val="009800B2"/>
    <w:rsid w:val="0098059F"/>
    <w:rsid w:val="00981DBF"/>
    <w:rsid w:val="00982B54"/>
    <w:rsid w:val="00985491"/>
    <w:rsid w:val="009860E8"/>
    <w:rsid w:val="009935D6"/>
    <w:rsid w:val="00993D89"/>
    <w:rsid w:val="009952B5"/>
    <w:rsid w:val="009955EE"/>
    <w:rsid w:val="00996AFE"/>
    <w:rsid w:val="009A29CC"/>
    <w:rsid w:val="009B0416"/>
    <w:rsid w:val="009B134B"/>
    <w:rsid w:val="009B1911"/>
    <w:rsid w:val="009B1B94"/>
    <w:rsid w:val="009B3B96"/>
    <w:rsid w:val="009B3BAC"/>
    <w:rsid w:val="009C04CA"/>
    <w:rsid w:val="009C0D98"/>
    <w:rsid w:val="009C14B6"/>
    <w:rsid w:val="009C5A18"/>
    <w:rsid w:val="009C6523"/>
    <w:rsid w:val="009C7859"/>
    <w:rsid w:val="009C7A90"/>
    <w:rsid w:val="009D0F56"/>
    <w:rsid w:val="009D1135"/>
    <w:rsid w:val="009D17D1"/>
    <w:rsid w:val="009D5EF9"/>
    <w:rsid w:val="009D6DB7"/>
    <w:rsid w:val="009E7129"/>
    <w:rsid w:val="009F232D"/>
    <w:rsid w:val="009F2DB3"/>
    <w:rsid w:val="009F2F46"/>
    <w:rsid w:val="009F6C3F"/>
    <w:rsid w:val="00A022F7"/>
    <w:rsid w:val="00A0532D"/>
    <w:rsid w:val="00A05537"/>
    <w:rsid w:val="00A05884"/>
    <w:rsid w:val="00A125F9"/>
    <w:rsid w:val="00A14F2A"/>
    <w:rsid w:val="00A160C9"/>
    <w:rsid w:val="00A1631A"/>
    <w:rsid w:val="00A170C3"/>
    <w:rsid w:val="00A17140"/>
    <w:rsid w:val="00A2155B"/>
    <w:rsid w:val="00A228AA"/>
    <w:rsid w:val="00A251E9"/>
    <w:rsid w:val="00A25758"/>
    <w:rsid w:val="00A25C09"/>
    <w:rsid w:val="00A26ED4"/>
    <w:rsid w:val="00A272AF"/>
    <w:rsid w:val="00A302ED"/>
    <w:rsid w:val="00A32F2B"/>
    <w:rsid w:val="00A3617F"/>
    <w:rsid w:val="00A3721E"/>
    <w:rsid w:val="00A37B8B"/>
    <w:rsid w:val="00A37F7B"/>
    <w:rsid w:val="00A4098E"/>
    <w:rsid w:val="00A4332D"/>
    <w:rsid w:val="00A44D99"/>
    <w:rsid w:val="00A4542C"/>
    <w:rsid w:val="00A46707"/>
    <w:rsid w:val="00A47216"/>
    <w:rsid w:val="00A512EC"/>
    <w:rsid w:val="00A52BFC"/>
    <w:rsid w:val="00A532F8"/>
    <w:rsid w:val="00A53502"/>
    <w:rsid w:val="00A53780"/>
    <w:rsid w:val="00A56CDA"/>
    <w:rsid w:val="00A57FAD"/>
    <w:rsid w:val="00A601B1"/>
    <w:rsid w:val="00A605DF"/>
    <w:rsid w:val="00A61AA0"/>
    <w:rsid w:val="00A61C8D"/>
    <w:rsid w:val="00A64AB6"/>
    <w:rsid w:val="00A65B55"/>
    <w:rsid w:val="00A65D11"/>
    <w:rsid w:val="00A65FAF"/>
    <w:rsid w:val="00A67676"/>
    <w:rsid w:val="00A67941"/>
    <w:rsid w:val="00A67E31"/>
    <w:rsid w:val="00A74055"/>
    <w:rsid w:val="00A752D5"/>
    <w:rsid w:val="00A77DC7"/>
    <w:rsid w:val="00A804D8"/>
    <w:rsid w:val="00A829D9"/>
    <w:rsid w:val="00A82D42"/>
    <w:rsid w:val="00A85301"/>
    <w:rsid w:val="00A91BC1"/>
    <w:rsid w:val="00A91FC4"/>
    <w:rsid w:val="00A92493"/>
    <w:rsid w:val="00A93D99"/>
    <w:rsid w:val="00A94872"/>
    <w:rsid w:val="00AA4B71"/>
    <w:rsid w:val="00AA5224"/>
    <w:rsid w:val="00AA68FB"/>
    <w:rsid w:val="00AB36F9"/>
    <w:rsid w:val="00AB40A8"/>
    <w:rsid w:val="00AB41B4"/>
    <w:rsid w:val="00AB452B"/>
    <w:rsid w:val="00AC0EF4"/>
    <w:rsid w:val="00AC30A2"/>
    <w:rsid w:val="00AC467D"/>
    <w:rsid w:val="00AD2FCA"/>
    <w:rsid w:val="00AD41F3"/>
    <w:rsid w:val="00AE1B31"/>
    <w:rsid w:val="00AE1BC7"/>
    <w:rsid w:val="00AE2350"/>
    <w:rsid w:val="00AE5427"/>
    <w:rsid w:val="00AF1B9C"/>
    <w:rsid w:val="00AF270B"/>
    <w:rsid w:val="00AF2F63"/>
    <w:rsid w:val="00AF4874"/>
    <w:rsid w:val="00AF7A7B"/>
    <w:rsid w:val="00AF7E71"/>
    <w:rsid w:val="00B01000"/>
    <w:rsid w:val="00B032E6"/>
    <w:rsid w:val="00B05431"/>
    <w:rsid w:val="00B05B95"/>
    <w:rsid w:val="00B05CC4"/>
    <w:rsid w:val="00B10129"/>
    <w:rsid w:val="00B2319E"/>
    <w:rsid w:val="00B24074"/>
    <w:rsid w:val="00B244CD"/>
    <w:rsid w:val="00B27CD1"/>
    <w:rsid w:val="00B3038F"/>
    <w:rsid w:val="00B31CC2"/>
    <w:rsid w:val="00B32046"/>
    <w:rsid w:val="00B34CB7"/>
    <w:rsid w:val="00B3632B"/>
    <w:rsid w:val="00B37DCF"/>
    <w:rsid w:val="00B445AF"/>
    <w:rsid w:val="00B511E0"/>
    <w:rsid w:val="00B518DE"/>
    <w:rsid w:val="00B51E39"/>
    <w:rsid w:val="00B5218B"/>
    <w:rsid w:val="00B5343F"/>
    <w:rsid w:val="00B548DA"/>
    <w:rsid w:val="00B55282"/>
    <w:rsid w:val="00B556DE"/>
    <w:rsid w:val="00B564EF"/>
    <w:rsid w:val="00B60E1F"/>
    <w:rsid w:val="00B62DDE"/>
    <w:rsid w:val="00B6384A"/>
    <w:rsid w:val="00B653CA"/>
    <w:rsid w:val="00B67E69"/>
    <w:rsid w:val="00B67F75"/>
    <w:rsid w:val="00B723A3"/>
    <w:rsid w:val="00B7331B"/>
    <w:rsid w:val="00B74358"/>
    <w:rsid w:val="00B76703"/>
    <w:rsid w:val="00B7696B"/>
    <w:rsid w:val="00B830B4"/>
    <w:rsid w:val="00B851EC"/>
    <w:rsid w:val="00B85C5E"/>
    <w:rsid w:val="00B8713D"/>
    <w:rsid w:val="00B90360"/>
    <w:rsid w:val="00B91258"/>
    <w:rsid w:val="00B92B56"/>
    <w:rsid w:val="00B9302D"/>
    <w:rsid w:val="00B94EB0"/>
    <w:rsid w:val="00B96C86"/>
    <w:rsid w:val="00BA00BC"/>
    <w:rsid w:val="00BA0E75"/>
    <w:rsid w:val="00BA324A"/>
    <w:rsid w:val="00BA3657"/>
    <w:rsid w:val="00BA41CF"/>
    <w:rsid w:val="00BA46AB"/>
    <w:rsid w:val="00BA4EBD"/>
    <w:rsid w:val="00BA7452"/>
    <w:rsid w:val="00BA7F1F"/>
    <w:rsid w:val="00BB23E4"/>
    <w:rsid w:val="00BB372C"/>
    <w:rsid w:val="00BB3A04"/>
    <w:rsid w:val="00BB60DA"/>
    <w:rsid w:val="00BB6360"/>
    <w:rsid w:val="00BB6CDF"/>
    <w:rsid w:val="00BC1CFC"/>
    <w:rsid w:val="00BC4489"/>
    <w:rsid w:val="00BC5358"/>
    <w:rsid w:val="00BC61B9"/>
    <w:rsid w:val="00BC6CFF"/>
    <w:rsid w:val="00BD082E"/>
    <w:rsid w:val="00BD180F"/>
    <w:rsid w:val="00BD6018"/>
    <w:rsid w:val="00BD68FB"/>
    <w:rsid w:val="00BD6A5C"/>
    <w:rsid w:val="00BE178B"/>
    <w:rsid w:val="00BE192F"/>
    <w:rsid w:val="00BE30C8"/>
    <w:rsid w:val="00BE4F3C"/>
    <w:rsid w:val="00BE5C79"/>
    <w:rsid w:val="00BE6043"/>
    <w:rsid w:val="00BE624E"/>
    <w:rsid w:val="00BE72FA"/>
    <w:rsid w:val="00BE79D2"/>
    <w:rsid w:val="00BE7B8F"/>
    <w:rsid w:val="00BF01B4"/>
    <w:rsid w:val="00BF17E0"/>
    <w:rsid w:val="00BF1B59"/>
    <w:rsid w:val="00BF20BD"/>
    <w:rsid w:val="00BF7E32"/>
    <w:rsid w:val="00C01529"/>
    <w:rsid w:val="00C032D8"/>
    <w:rsid w:val="00C053B2"/>
    <w:rsid w:val="00C06DDB"/>
    <w:rsid w:val="00C1416B"/>
    <w:rsid w:val="00C14312"/>
    <w:rsid w:val="00C14800"/>
    <w:rsid w:val="00C1676D"/>
    <w:rsid w:val="00C171E7"/>
    <w:rsid w:val="00C1747B"/>
    <w:rsid w:val="00C209CB"/>
    <w:rsid w:val="00C21380"/>
    <w:rsid w:val="00C23466"/>
    <w:rsid w:val="00C23B46"/>
    <w:rsid w:val="00C2625B"/>
    <w:rsid w:val="00C30CD8"/>
    <w:rsid w:val="00C34364"/>
    <w:rsid w:val="00C447F1"/>
    <w:rsid w:val="00C46B5C"/>
    <w:rsid w:val="00C46FEF"/>
    <w:rsid w:val="00C47DB8"/>
    <w:rsid w:val="00C54214"/>
    <w:rsid w:val="00C55C47"/>
    <w:rsid w:val="00C57323"/>
    <w:rsid w:val="00C573B2"/>
    <w:rsid w:val="00C57599"/>
    <w:rsid w:val="00C60BC0"/>
    <w:rsid w:val="00C6412B"/>
    <w:rsid w:val="00C656DD"/>
    <w:rsid w:val="00C71D9A"/>
    <w:rsid w:val="00C73DD3"/>
    <w:rsid w:val="00C75F20"/>
    <w:rsid w:val="00C763CC"/>
    <w:rsid w:val="00C8098A"/>
    <w:rsid w:val="00C85032"/>
    <w:rsid w:val="00C926E3"/>
    <w:rsid w:val="00C958B4"/>
    <w:rsid w:val="00C95BED"/>
    <w:rsid w:val="00C96AE4"/>
    <w:rsid w:val="00C96F84"/>
    <w:rsid w:val="00CA0005"/>
    <w:rsid w:val="00CA0170"/>
    <w:rsid w:val="00CA01FD"/>
    <w:rsid w:val="00CA63B1"/>
    <w:rsid w:val="00CB25AA"/>
    <w:rsid w:val="00CB2B7E"/>
    <w:rsid w:val="00CB44CF"/>
    <w:rsid w:val="00CB4E6F"/>
    <w:rsid w:val="00CB6218"/>
    <w:rsid w:val="00CB6600"/>
    <w:rsid w:val="00CC005A"/>
    <w:rsid w:val="00CC06D8"/>
    <w:rsid w:val="00CC2B90"/>
    <w:rsid w:val="00CC71BC"/>
    <w:rsid w:val="00CC7314"/>
    <w:rsid w:val="00CD1E32"/>
    <w:rsid w:val="00CD1F19"/>
    <w:rsid w:val="00CD20CF"/>
    <w:rsid w:val="00CD210F"/>
    <w:rsid w:val="00CD47C3"/>
    <w:rsid w:val="00CD69B0"/>
    <w:rsid w:val="00CE1B4B"/>
    <w:rsid w:val="00CE284E"/>
    <w:rsid w:val="00CE2D69"/>
    <w:rsid w:val="00CE4652"/>
    <w:rsid w:val="00CE482C"/>
    <w:rsid w:val="00CF2EC4"/>
    <w:rsid w:val="00CF4278"/>
    <w:rsid w:val="00CF4FD9"/>
    <w:rsid w:val="00CF5F84"/>
    <w:rsid w:val="00CF698F"/>
    <w:rsid w:val="00CF71C5"/>
    <w:rsid w:val="00D00D3B"/>
    <w:rsid w:val="00D01DA4"/>
    <w:rsid w:val="00D02FE9"/>
    <w:rsid w:val="00D040B4"/>
    <w:rsid w:val="00D05E8E"/>
    <w:rsid w:val="00D06DA6"/>
    <w:rsid w:val="00D11329"/>
    <w:rsid w:val="00D12FDD"/>
    <w:rsid w:val="00D15A7D"/>
    <w:rsid w:val="00D2177B"/>
    <w:rsid w:val="00D21A25"/>
    <w:rsid w:val="00D22D3F"/>
    <w:rsid w:val="00D23A50"/>
    <w:rsid w:val="00D25009"/>
    <w:rsid w:val="00D30B1F"/>
    <w:rsid w:val="00D30E56"/>
    <w:rsid w:val="00D30FDD"/>
    <w:rsid w:val="00D31BAC"/>
    <w:rsid w:val="00D31C8D"/>
    <w:rsid w:val="00D337CD"/>
    <w:rsid w:val="00D33E1A"/>
    <w:rsid w:val="00D356EF"/>
    <w:rsid w:val="00D36211"/>
    <w:rsid w:val="00D37990"/>
    <w:rsid w:val="00D4026C"/>
    <w:rsid w:val="00D406F2"/>
    <w:rsid w:val="00D41600"/>
    <w:rsid w:val="00D42A95"/>
    <w:rsid w:val="00D4329E"/>
    <w:rsid w:val="00D438E7"/>
    <w:rsid w:val="00D4477D"/>
    <w:rsid w:val="00D464F9"/>
    <w:rsid w:val="00D4787B"/>
    <w:rsid w:val="00D51A76"/>
    <w:rsid w:val="00D52F68"/>
    <w:rsid w:val="00D53102"/>
    <w:rsid w:val="00D56DF5"/>
    <w:rsid w:val="00D57A37"/>
    <w:rsid w:val="00D6033D"/>
    <w:rsid w:val="00D6117B"/>
    <w:rsid w:val="00D631CF"/>
    <w:rsid w:val="00D63880"/>
    <w:rsid w:val="00D65145"/>
    <w:rsid w:val="00D652F7"/>
    <w:rsid w:val="00D65869"/>
    <w:rsid w:val="00D66C56"/>
    <w:rsid w:val="00D67860"/>
    <w:rsid w:val="00D709F4"/>
    <w:rsid w:val="00D70E19"/>
    <w:rsid w:val="00D73672"/>
    <w:rsid w:val="00D74123"/>
    <w:rsid w:val="00D74F1D"/>
    <w:rsid w:val="00D7517E"/>
    <w:rsid w:val="00D76758"/>
    <w:rsid w:val="00D81D67"/>
    <w:rsid w:val="00D841D0"/>
    <w:rsid w:val="00D85106"/>
    <w:rsid w:val="00D85456"/>
    <w:rsid w:val="00D85B5C"/>
    <w:rsid w:val="00D86269"/>
    <w:rsid w:val="00D9130A"/>
    <w:rsid w:val="00D9136E"/>
    <w:rsid w:val="00D9142F"/>
    <w:rsid w:val="00D91FF4"/>
    <w:rsid w:val="00D9419E"/>
    <w:rsid w:val="00D94BA4"/>
    <w:rsid w:val="00D94BB3"/>
    <w:rsid w:val="00DA3824"/>
    <w:rsid w:val="00DA5C0B"/>
    <w:rsid w:val="00DA6AB8"/>
    <w:rsid w:val="00DB0654"/>
    <w:rsid w:val="00DB35F5"/>
    <w:rsid w:val="00DB597C"/>
    <w:rsid w:val="00DB6531"/>
    <w:rsid w:val="00DB7C3E"/>
    <w:rsid w:val="00DC124E"/>
    <w:rsid w:val="00DC3AA3"/>
    <w:rsid w:val="00DC3DCB"/>
    <w:rsid w:val="00DC49DF"/>
    <w:rsid w:val="00DD041B"/>
    <w:rsid w:val="00DD3778"/>
    <w:rsid w:val="00DD4320"/>
    <w:rsid w:val="00DD5AC6"/>
    <w:rsid w:val="00DD5FD3"/>
    <w:rsid w:val="00DE0132"/>
    <w:rsid w:val="00DE02AA"/>
    <w:rsid w:val="00DE0525"/>
    <w:rsid w:val="00DE2AAD"/>
    <w:rsid w:val="00DE38D4"/>
    <w:rsid w:val="00DE5055"/>
    <w:rsid w:val="00DF52B0"/>
    <w:rsid w:val="00DF5BC1"/>
    <w:rsid w:val="00E00178"/>
    <w:rsid w:val="00E00E59"/>
    <w:rsid w:val="00E01CE1"/>
    <w:rsid w:val="00E03900"/>
    <w:rsid w:val="00E10279"/>
    <w:rsid w:val="00E116A1"/>
    <w:rsid w:val="00E117B6"/>
    <w:rsid w:val="00E12A03"/>
    <w:rsid w:val="00E1458B"/>
    <w:rsid w:val="00E15E88"/>
    <w:rsid w:val="00E17EA1"/>
    <w:rsid w:val="00E20AF9"/>
    <w:rsid w:val="00E20D58"/>
    <w:rsid w:val="00E215EE"/>
    <w:rsid w:val="00E216C8"/>
    <w:rsid w:val="00E23AB3"/>
    <w:rsid w:val="00E24308"/>
    <w:rsid w:val="00E259E1"/>
    <w:rsid w:val="00E25B26"/>
    <w:rsid w:val="00E31D7F"/>
    <w:rsid w:val="00E322F7"/>
    <w:rsid w:val="00E33157"/>
    <w:rsid w:val="00E4047B"/>
    <w:rsid w:val="00E40861"/>
    <w:rsid w:val="00E4088A"/>
    <w:rsid w:val="00E440C8"/>
    <w:rsid w:val="00E450FB"/>
    <w:rsid w:val="00E45771"/>
    <w:rsid w:val="00E45859"/>
    <w:rsid w:val="00E50FE6"/>
    <w:rsid w:val="00E51592"/>
    <w:rsid w:val="00E5169B"/>
    <w:rsid w:val="00E5222A"/>
    <w:rsid w:val="00E53962"/>
    <w:rsid w:val="00E54BDC"/>
    <w:rsid w:val="00E55F11"/>
    <w:rsid w:val="00E55FBD"/>
    <w:rsid w:val="00E56031"/>
    <w:rsid w:val="00E564B0"/>
    <w:rsid w:val="00E57FB5"/>
    <w:rsid w:val="00E60679"/>
    <w:rsid w:val="00E60774"/>
    <w:rsid w:val="00E63A95"/>
    <w:rsid w:val="00E63DA3"/>
    <w:rsid w:val="00E645FD"/>
    <w:rsid w:val="00E66413"/>
    <w:rsid w:val="00E670EF"/>
    <w:rsid w:val="00E70383"/>
    <w:rsid w:val="00E70C2D"/>
    <w:rsid w:val="00E7159F"/>
    <w:rsid w:val="00E75295"/>
    <w:rsid w:val="00E75B28"/>
    <w:rsid w:val="00E765AA"/>
    <w:rsid w:val="00E778BA"/>
    <w:rsid w:val="00E80CBB"/>
    <w:rsid w:val="00E81CDB"/>
    <w:rsid w:val="00E8268B"/>
    <w:rsid w:val="00E8273B"/>
    <w:rsid w:val="00E83CA2"/>
    <w:rsid w:val="00E846CD"/>
    <w:rsid w:val="00E84C66"/>
    <w:rsid w:val="00E91601"/>
    <w:rsid w:val="00E9221C"/>
    <w:rsid w:val="00E922E9"/>
    <w:rsid w:val="00E96F8B"/>
    <w:rsid w:val="00EA01B4"/>
    <w:rsid w:val="00EA021C"/>
    <w:rsid w:val="00EA1149"/>
    <w:rsid w:val="00EA18D7"/>
    <w:rsid w:val="00EA1F2D"/>
    <w:rsid w:val="00EA74C4"/>
    <w:rsid w:val="00EB0793"/>
    <w:rsid w:val="00EB59CD"/>
    <w:rsid w:val="00EB6243"/>
    <w:rsid w:val="00EB6A2E"/>
    <w:rsid w:val="00EC270E"/>
    <w:rsid w:val="00EC577B"/>
    <w:rsid w:val="00ED00ED"/>
    <w:rsid w:val="00ED4453"/>
    <w:rsid w:val="00ED4D39"/>
    <w:rsid w:val="00ED5080"/>
    <w:rsid w:val="00EE05A4"/>
    <w:rsid w:val="00EE1936"/>
    <w:rsid w:val="00EE3DFF"/>
    <w:rsid w:val="00EE6EE3"/>
    <w:rsid w:val="00EE7186"/>
    <w:rsid w:val="00EF201E"/>
    <w:rsid w:val="00EF26DE"/>
    <w:rsid w:val="00EF2BC4"/>
    <w:rsid w:val="00EF57B1"/>
    <w:rsid w:val="00EF640B"/>
    <w:rsid w:val="00EF641D"/>
    <w:rsid w:val="00EF64EA"/>
    <w:rsid w:val="00EF787D"/>
    <w:rsid w:val="00F0216F"/>
    <w:rsid w:val="00F03F61"/>
    <w:rsid w:val="00F07EFD"/>
    <w:rsid w:val="00F1093D"/>
    <w:rsid w:val="00F117DD"/>
    <w:rsid w:val="00F128BF"/>
    <w:rsid w:val="00F138A5"/>
    <w:rsid w:val="00F1605C"/>
    <w:rsid w:val="00F16602"/>
    <w:rsid w:val="00F20CD3"/>
    <w:rsid w:val="00F21354"/>
    <w:rsid w:val="00F234C8"/>
    <w:rsid w:val="00F23ADD"/>
    <w:rsid w:val="00F27EA0"/>
    <w:rsid w:val="00F32B52"/>
    <w:rsid w:val="00F32F0F"/>
    <w:rsid w:val="00F33CF5"/>
    <w:rsid w:val="00F34AC0"/>
    <w:rsid w:val="00F364B1"/>
    <w:rsid w:val="00F41888"/>
    <w:rsid w:val="00F4428E"/>
    <w:rsid w:val="00F44717"/>
    <w:rsid w:val="00F4486D"/>
    <w:rsid w:val="00F460FD"/>
    <w:rsid w:val="00F5289A"/>
    <w:rsid w:val="00F535A7"/>
    <w:rsid w:val="00F538E7"/>
    <w:rsid w:val="00F56A3E"/>
    <w:rsid w:val="00F611EF"/>
    <w:rsid w:val="00F622D7"/>
    <w:rsid w:val="00F62F6F"/>
    <w:rsid w:val="00F6391F"/>
    <w:rsid w:val="00F6567C"/>
    <w:rsid w:val="00F65AF9"/>
    <w:rsid w:val="00F679CF"/>
    <w:rsid w:val="00F717A1"/>
    <w:rsid w:val="00F7180E"/>
    <w:rsid w:val="00F727C8"/>
    <w:rsid w:val="00F749EA"/>
    <w:rsid w:val="00F76DB2"/>
    <w:rsid w:val="00F80851"/>
    <w:rsid w:val="00F814D5"/>
    <w:rsid w:val="00F90718"/>
    <w:rsid w:val="00F92692"/>
    <w:rsid w:val="00F93618"/>
    <w:rsid w:val="00FA0A02"/>
    <w:rsid w:val="00FA0E58"/>
    <w:rsid w:val="00FA15F3"/>
    <w:rsid w:val="00FA1E1F"/>
    <w:rsid w:val="00FB329F"/>
    <w:rsid w:val="00FB3666"/>
    <w:rsid w:val="00FB4BED"/>
    <w:rsid w:val="00FB699C"/>
    <w:rsid w:val="00FC0244"/>
    <w:rsid w:val="00FC0F34"/>
    <w:rsid w:val="00FC326B"/>
    <w:rsid w:val="00FC3A73"/>
    <w:rsid w:val="00FC4505"/>
    <w:rsid w:val="00FC629B"/>
    <w:rsid w:val="00FC7BAA"/>
    <w:rsid w:val="00FD035A"/>
    <w:rsid w:val="00FD047F"/>
    <w:rsid w:val="00FD1B04"/>
    <w:rsid w:val="00FD5494"/>
    <w:rsid w:val="00FE06E6"/>
    <w:rsid w:val="00FE13B8"/>
    <w:rsid w:val="00FE31F0"/>
    <w:rsid w:val="00FE3D3A"/>
    <w:rsid w:val="00FF060D"/>
    <w:rsid w:val="00FF15B6"/>
    <w:rsid w:val="00FF2CAF"/>
    <w:rsid w:val="00FF49C8"/>
    <w:rsid w:val="00FF587D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5EA829C3"/>
  <w15:docId w15:val="{B276BF76-4ADF-4B91-8088-688151CB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676"/>
    <w:pPr>
      <w:ind w:left="720"/>
      <w:contextualSpacing/>
    </w:pPr>
  </w:style>
  <w:style w:type="table" w:styleId="a4">
    <w:name w:val="Table Grid"/>
    <w:basedOn w:val="a1"/>
    <w:uiPriority w:val="59"/>
    <w:rsid w:val="0062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6F0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6C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4C19"/>
  </w:style>
  <w:style w:type="paragraph" w:styleId="aa">
    <w:name w:val="footer"/>
    <w:basedOn w:val="a"/>
    <w:link w:val="ab"/>
    <w:uiPriority w:val="99"/>
    <w:unhideWhenUsed/>
    <w:rsid w:val="00234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4C19"/>
  </w:style>
  <w:style w:type="character" w:styleId="ac">
    <w:name w:val="annotation reference"/>
    <w:basedOn w:val="a0"/>
    <w:uiPriority w:val="99"/>
    <w:semiHidden/>
    <w:unhideWhenUsed/>
    <w:rsid w:val="0028390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390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390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390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3903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30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r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r.ru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06346-FE81-4621-B1C5-0C0AA63B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Мещерякова Лариса Георгиевна</dc:creator>
  <cp:lastModifiedBy>Мещерякова Лариса Георгиевна</cp:lastModifiedBy>
  <cp:revision>13</cp:revision>
  <cp:lastPrinted>2020-01-28T07:32:00Z</cp:lastPrinted>
  <dcterms:created xsi:type="dcterms:W3CDTF">2024-05-08T06:17:00Z</dcterms:created>
  <dcterms:modified xsi:type="dcterms:W3CDTF">2024-05-22T09:49:00Z</dcterms:modified>
</cp:coreProperties>
</file>